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firm-name-ai-acceptable-use-policy"/>
    <w:p>
      <w:pPr>
        <w:pStyle w:val="Heading1"/>
      </w:pPr>
      <w:r>
        <w:t xml:space="preserve">[FIRM NAME] AI Acceptable Use Policy</w:t>
      </w:r>
    </w:p>
    <w:p>
      <w:pPr>
        <w:pStyle w:val="FirstParagraph"/>
      </w:pPr>
      <w:r>
        <w:rPr>
          <w:bCs/>
          <w:b/>
        </w:rPr>
        <w:t xml:space="preserve">AI Acceptable Use Policy Template for Advisory Firms</w:t>
      </w:r>
      <w:r>
        <w:t xml:space="preserve">, template version 1.0, October 23, 2026</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Cover</w:t>
            </w:r>
          </w:p>
        </w:tc>
        <w:tc>
          <w:tcPr/>
          <w:p>
            <w:pPr>
              <w:pStyle w:val="Compact"/>
            </w:pPr>
          </w:p>
        </w:tc>
      </w:tr>
      <w:tr>
        <w:tc>
          <w:tcPr/>
          <w:p>
            <w:pPr>
              <w:pStyle w:val="Compact"/>
              <w:jc w:val="left"/>
            </w:pPr>
            <w:r>
              <w:t xml:space="preserve">Adopted by</w:t>
            </w:r>
          </w:p>
        </w:tc>
        <w:tc>
          <w:tcPr/>
          <w:p>
            <w:pPr>
              <w:pStyle w:val="Compact"/>
              <w:jc w:val="left"/>
            </w:pPr>
            <w:r>
              <w:t xml:space="preserve">[FIRM NAME]</w:t>
            </w:r>
          </w:p>
        </w:tc>
      </w:tr>
      <w:tr>
        <w:tc>
          <w:tcPr/>
          <w:p>
            <w:pPr>
              <w:pStyle w:val="Compact"/>
              <w:jc w:val="left"/>
            </w:pPr>
            <w:r>
              <w:t xml:space="preserve">Adopted on</w:t>
            </w:r>
          </w:p>
        </w:tc>
        <w:tc>
          <w:tcPr/>
          <w:p>
            <w:pPr>
              <w:pStyle w:val="Compact"/>
              <w:jc w:val="left"/>
            </w:pPr>
            <w:r>
              <w:t xml:space="preserve">[DATE]</w:t>
            </w:r>
          </w:p>
        </w:tc>
      </w:tr>
      <w:tr>
        <w:tc>
          <w:tcPr/>
          <w:p>
            <w:pPr>
              <w:pStyle w:val="Compact"/>
              <w:jc w:val="left"/>
            </w:pPr>
            <w:r>
              <w:t xml:space="preserve">Effective date</w:t>
            </w:r>
          </w:p>
        </w:tc>
        <w:tc>
          <w:tcPr/>
          <w:p>
            <w:pPr>
              <w:pStyle w:val="Compact"/>
              <w:jc w:val="left"/>
            </w:pPr>
            <w:r>
              <w:t xml:space="preserve">[EFFECTIVE DATE]</w:t>
            </w:r>
          </w:p>
        </w:tc>
      </w:tr>
      <w:tr>
        <w:tc>
          <w:tcPr/>
          <w:p>
            <w:pPr>
              <w:pStyle w:val="Compact"/>
              <w:jc w:val="left"/>
            </w:pPr>
            <w:r>
              <w:t xml:space="preserve">Policy version</w:t>
            </w:r>
          </w:p>
        </w:tc>
        <w:tc>
          <w:tcPr/>
          <w:p>
            <w:pPr>
              <w:pStyle w:val="Compact"/>
              <w:jc w:val="left"/>
            </w:pPr>
            <w:r>
              <w:t xml:space="preserve">[VERSION]</w:t>
            </w:r>
          </w:p>
        </w:tc>
      </w:tr>
      <w:tr>
        <w:tc>
          <w:tcPr/>
          <w:p>
            <w:pPr>
              <w:pStyle w:val="Compact"/>
              <w:jc w:val="left"/>
            </w:pPr>
            <w:r>
              <w:t xml:space="preserve">Policy owner</w:t>
            </w:r>
          </w:p>
        </w:tc>
        <w:tc>
          <w:tcPr/>
          <w:p>
            <w:pPr>
              <w:pStyle w:val="Compact"/>
              <w:jc w:val="left"/>
            </w:pPr>
            <w:r>
              <w:t xml:space="preserve">[POLICY OWNER]</w:t>
            </w:r>
          </w:p>
        </w:tc>
      </w:tr>
      <w:tr>
        <w:tc>
          <w:tcPr/>
          <w:p>
            <w:pPr>
              <w:pStyle w:val="Compact"/>
              <w:jc w:val="left"/>
            </w:pPr>
            <w:r>
              <w:t xml:space="preserve">Approved by</w:t>
            </w:r>
          </w:p>
        </w:tc>
        <w:tc>
          <w:tcPr/>
          <w:p>
            <w:pPr>
              <w:pStyle w:val="Compact"/>
              <w:jc w:val="left"/>
            </w:pPr>
            <w:r>
              <w:t xml:space="preserve">[CCO NAME], Chief Compliance Officer</w:t>
            </w:r>
          </w:p>
        </w:tc>
      </w:tr>
      <w:tr>
        <w:tc>
          <w:tcPr/>
          <w:p>
            <w:pPr>
              <w:pStyle w:val="Compact"/>
              <w:jc w:val="left"/>
            </w:pPr>
            <w:r>
              <w:t xml:space="preserve">Next review</w:t>
            </w:r>
          </w:p>
        </w:tc>
        <w:tc>
          <w:tcPr/>
          <w:p>
            <w:pPr>
              <w:pStyle w:val="Compact"/>
              <w:jc w:val="left"/>
            </w:pPr>
            <w:r>
              <w:t xml:space="preserve">[DATE]</w:t>
            </w:r>
          </w:p>
        </w:tc>
      </w:tr>
    </w:tbl>
    <w:p>
      <w:pPr>
        <w:pStyle w:val="BodyText"/>
      </w:pPr>
      <w:r>
        <w:rPr>
          <w:bCs/>
          <w:b/>
        </w:rPr>
        <w:t xml:space="preserve">Important:</w:t>
      </w:r>
      <w:r>
        <w:t xml:space="preserve"> </w:t>
      </w:r>
      <w:r>
        <w:t xml:space="preserve">This template is general information, not legal, compliance or regulatory advice. Laws and rules change and vary by firm type and state. Have your chief compliance officer or counsel review and adapt it before adoption.</w:t>
      </w:r>
    </w:p>
    <w:bookmarkStart w:id="20" w:name="X2a30bfa7e805ff1961e78f5a282aa0356547cf6"/>
    <w:p>
      <w:pPr>
        <w:pStyle w:val="Heading2"/>
      </w:pPr>
      <w:r>
        <w:t xml:space="preserve">How to use this template (delete this section before adoption)</w:t>
      </w:r>
    </w:p>
    <w:p>
      <w:pPr>
        <w:numPr>
          <w:ilvl w:val="0"/>
          <w:numId w:val="1001"/>
        </w:numPr>
        <w:pStyle w:val="Compact"/>
      </w:pPr>
      <w:r>
        <w:t xml:space="preserve">Replace every field in [BRACKETED CAPITALS] with your firm’s details. The list of fields is at the end of this introduction.</w:t>
      </w:r>
    </w:p>
    <w:p>
      <w:pPr>
        <w:numPr>
          <w:ilvl w:val="0"/>
          <w:numId w:val="1001"/>
        </w:numPr>
        <w:pStyle w:val="Compact"/>
      </w:pPr>
      <w:r>
        <w:t xml:space="preserve">Clauses tagged RIA apply to SEC-registered investment advisers; clauses tagged BD apply to broker-dealers. Keep both if you’re dually registered or hybrid, and delete the ones that don’t apply to you.</w:t>
      </w:r>
    </w:p>
    <w:p>
      <w:pPr>
        <w:numPr>
          <w:ilvl w:val="0"/>
          <w:numId w:val="1001"/>
        </w:numPr>
        <w:pStyle w:val="Compact"/>
      </w:pPr>
      <w:r>
        <w:t xml:space="preserve">Clauses marked optional are common choices, not requirements. Keep, change or delete them.</w:t>
      </w:r>
    </w:p>
    <w:p>
      <w:pPr>
        <w:numPr>
          <w:ilvl w:val="0"/>
          <w:numId w:val="1001"/>
        </w:numPr>
        <w:pStyle w:val="Compact"/>
      </w:pPr>
      <w:r>
        <w:t xml:space="preserve">Guidance notes explain a clause and where it comes from. Delete them before you adopt the policy.</w:t>
      </w:r>
    </w:p>
    <w:p>
      <w:pPr>
        <w:numPr>
          <w:ilvl w:val="0"/>
          <w:numId w:val="1001"/>
        </w:numPr>
        <w:pStyle w:val="Compact"/>
      </w:pPr>
      <w:r>
        <w:t xml:space="preserve">If your firm is state-registered rather than SEC-registered, your state securities regulator’s rules apply instead of some of the SEC rules cited here. Ask your compliance team or counsel which apply to you.</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Fill-in field</w:t>
            </w:r>
          </w:p>
        </w:tc>
        <w:tc>
          <w:tcPr/>
          <w:p>
            <w:pPr>
              <w:pStyle w:val="Compact"/>
              <w:jc w:val="left"/>
            </w:pPr>
            <w:r>
              <w:t xml:space="preserve">What to enter</w:t>
            </w:r>
          </w:p>
        </w:tc>
      </w:tr>
      <w:tr>
        <w:tc>
          <w:tcPr/>
          <w:p>
            <w:pPr>
              <w:pStyle w:val="Compact"/>
              <w:jc w:val="left"/>
            </w:pPr>
            <w:r>
              <w:t xml:space="preserve">[FIRM NAME]</w:t>
            </w:r>
          </w:p>
        </w:tc>
        <w:tc>
          <w:tcPr/>
          <w:p>
            <w:pPr>
              <w:pStyle w:val="Compact"/>
              <w:jc w:val="left"/>
            </w:pPr>
            <w:r>
              <w:t xml:space="preserve">Your firm’s legal or trading name, used wherever the policy says</w:t>
            </w:r>
            <w:r>
              <w:t xml:space="preserve"> </w:t>
            </w:r>
            <w:r>
              <w:t xml:space="preserve">“</w:t>
            </w:r>
            <w:r>
              <w:t xml:space="preserve">the Firm</w:t>
            </w:r>
            <w:r>
              <w:t xml:space="preserve">”</w:t>
            </w:r>
            <w:r>
              <w:t xml:space="preserve">.</w:t>
            </w:r>
          </w:p>
        </w:tc>
      </w:tr>
      <w:tr>
        <w:tc>
          <w:tcPr/>
          <w:p>
            <w:pPr>
              <w:pStyle w:val="Compact"/>
              <w:jc w:val="left"/>
            </w:pPr>
            <w:r>
              <w:t xml:space="preserve">[EFFECTIVE DATE]</w:t>
            </w:r>
          </w:p>
        </w:tc>
        <w:tc>
          <w:tcPr/>
          <w:p>
            <w:pPr>
              <w:pStyle w:val="Compact"/>
              <w:jc w:val="left"/>
            </w:pPr>
            <w:r>
              <w:t xml:space="preserve">The date the policy takes effect.</w:t>
            </w:r>
          </w:p>
        </w:tc>
      </w:tr>
      <w:tr>
        <w:tc>
          <w:tcPr/>
          <w:p>
            <w:pPr>
              <w:pStyle w:val="Compact"/>
              <w:jc w:val="left"/>
            </w:pPr>
            <w:r>
              <w:t xml:space="preserve">[DATE]</w:t>
            </w:r>
          </w:p>
        </w:tc>
        <w:tc>
          <w:tcPr/>
          <w:p>
            <w:pPr>
              <w:pStyle w:val="Compact"/>
              <w:jc w:val="left"/>
            </w:pPr>
            <w:r>
              <w:t xml:space="preserve">A date to fill in: adoption date on the cover, approval and review dates in the register and forms.</w:t>
            </w:r>
          </w:p>
        </w:tc>
      </w:tr>
      <w:tr>
        <w:tc>
          <w:tcPr/>
          <w:p>
            <w:pPr>
              <w:pStyle w:val="Compact"/>
              <w:jc w:val="left"/>
            </w:pPr>
            <w:r>
              <w:t xml:space="preserve">[VERSION]</w:t>
            </w:r>
          </w:p>
        </w:tc>
        <w:tc>
          <w:tcPr/>
          <w:p>
            <w:pPr>
              <w:pStyle w:val="Compact"/>
              <w:jc w:val="left"/>
            </w:pPr>
            <w:r>
              <w:t xml:space="preserve">This document’s version number (start at 1.0 and increase it with each approved change).</w:t>
            </w:r>
          </w:p>
        </w:tc>
      </w:tr>
      <w:tr>
        <w:tc>
          <w:tcPr/>
          <w:p>
            <w:pPr>
              <w:pStyle w:val="Compact"/>
              <w:jc w:val="left"/>
            </w:pPr>
            <w:r>
              <w:t xml:space="preserve">[CCO NAME]</w:t>
            </w:r>
          </w:p>
        </w:tc>
        <w:tc>
          <w:tcPr/>
          <w:p>
            <w:pPr>
              <w:pStyle w:val="Compact"/>
              <w:jc w:val="left"/>
            </w:pPr>
            <w:r>
              <w:t xml:space="preserve">Name and title of your chief compliance officer.</w:t>
            </w:r>
          </w:p>
        </w:tc>
      </w:tr>
      <w:tr>
        <w:tc>
          <w:tcPr/>
          <w:p>
            <w:pPr>
              <w:pStyle w:val="Compact"/>
              <w:jc w:val="left"/>
            </w:pPr>
            <w:r>
              <w:t xml:space="preserve">[POLICY OWNER]</w:t>
            </w:r>
          </w:p>
        </w:tc>
        <w:tc>
          <w:tcPr/>
          <w:p>
            <w:pPr>
              <w:pStyle w:val="Compact"/>
              <w:jc w:val="left"/>
            </w:pPr>
            <w:r>
              <w:t xml:space="preserve">Name and title of the person who maintains this policy and the AI tools register (often the CCO at a small firm).</w:t>
            </w:r>
          </w:p>
        </w:tc>
      </w:tr>
      <w:tr>
        <w:tc>
          <w:tcPr/>
          <w:p>
            <w:pPr>
              <w:pStyle w:val="Compact"/>
              <w:jc w:val="left"/>
            </w:pPr>
            <w:r>
              <w:t xml:space="preserve">[BACKUP POLICY OWNER]</w:t>
            </w:r>
          </w:p>
        </w:tc>
        <w:tc>
          <w:tcPr/>
          <w:p>
            <w:pPr>
              <w:pStyle w:val="Compact"/>
              <w:jc w:val="left"/>
            </w:pPr>
            <w:r>
              <w:t xml:space="preserve">Name and title of the person who covers when the policy owner is away.</w:t>
            </w:r>
          </w:p>
        </w:tc>
      </w:tr>
      <w:tr>
        <w:tc>
          <w:tcPr/>
          <w:p>
            <w:pPr>
              <w:pStyle w:val="Compact"/>
              <w:jc w:val="left"/>
            </w:pPr>
            <w:r>
              <w:t xml:space="preserve">[IT/SECURITY CONTACT]</w:t>
            </w:r>
          </w:p>
        </w:tc>
        <w:tc>
          <w:tcPr/>
          <w:p>
            <w:pPr>
              <w:pStyle w:val="Compact"/>
              <w:jc w:val="left"/>
            </w:pPr>
            <w:r>
              <w:t xml:space="preserve">The person or provider who manages accounts, access and security settings (an outside IT provider is fine).</w:t>
            </w:r>
          </w:p>
        </w:tc>
      </w:tr>
      <w:tr>
        <w:tc>
          <w:tcPr/>
          <w:p>
            <w:pPr>
              <w:pStyle w:val="Compact"/>
              <w:jc w:val="left"/>
            </w:pPr>
            <w:r>
              <w:t xml:space="preserve">[CONTACT]</w:t>
            </w:r>
          </w:p>
        </w:tc>
        <w:tc>
          <w:tcPr/>
          <w:p>
            <w:pPr>
              <w:pStyle w:val="Compact"/>
              <w:jc w:val="left"/>
            </w:pPr>
            <w:r>
              <w:t xml:space="preserve">Who receives AI incident reports, with email and phone (for example, the CCO).</w:t>
            </w:r>
          </w:p>
        </w:tc>
      </w:tr>
      <w:tr>
        <w:tc>
          <w:tcPr/>
          <w:p>
            <w:pPr>
              <w:pStyle w:val="Compact"/>
              <w:jc w:val="left"/>
            </w:pPr>
            <w:r>
              <w:t xml:space="preserve">[X HOURS]</w:t>
            </w:r>
          </w:p>
        </w:tc>
        <w:tc>
          <w:tcPr/>
          <w:p>
            <w:pPr>
              <w:pStyle w:val="Compact"/>
              <w:jc w:val="left"/>
            </w:pPr>
            <w:r>
              <w:t xml:space="preserve">How quickly AI incidents must be reported, in hours (for example, 24).</w:t>
            </w:r>
          </w:p>
        </w:tc>
      </w:tr>
      <w:tr>
        <w:tc>
          <w:tcPr/>
          <w:p>
            <w:pPr>
              <w:pStyle w:val="Compact"/>
              <w:jc w:val="left"/>
            </w:pPr>
            <w:r>
              <w:t xml:space="preserve">[REVIEW FREQUENCY]</w:t>
            </w:r>
          </w:p>
        </w:tc>
        <w:tc>
          <w:tcPr/>
          <w:p>
            <w:pPr>
              <w:pStyle w:val="Compact"/>
              <w:jc w:val="left"/>
            </w:pPr>
            <w:r>
              <w:t xml:space="preserve">How often the policy is reviewed and the owner reports on AI use, at least annually (for example,</w:t>
            </w:r>
            <w:r>
              <w:t xml:space="preserve"> </w:t>
            </w:r>
            <w:r>
              <w:t xml:space="preserve">“</w:t>
            </w:r>
            <w:r>
              <w:t xml:space="preserve">annually</w:t>
            </w:r>
            <w:r>
              <w:t xml:space="preserve">”</w:t>
            </w:r>
            <w:r>
              <w:t xml:space="preserve"> </w:t>
            </w:r>
            <w:r>
              <w:t xml:space="preserve">or</w:t>
            </w:r>
            <w:r>
              <w:t xml:space="preserve"> </w:t>
            </w:r>
            <w:r>
              <w:t xml:space="preserve">“</w:t>
            </w:r>
            <w:r>
              <w:t xml:space="preserve">every six months</w:t>
            </w:r>
            <w:r>
              <w:t xml:space="preserve">”</w:t>
            </w:r>
            <w:r>
              <w:t xml:space="preserve">).</w:t>
            </w:r>
          </w:p>
        </w:tc>
      </w:tr>
      <w:tr>
        <w:tc>
          <w:tcPr/>
          <w:p>
            <w:pPr>
              <w:pStyle w:val="Compact"/>
              <w:jc w:val="left"/>
            </w:pPr>
            <w:r>
              <w:t xml:space="preserve">[SPOT-CHECK FREQUENCY]</w:t>
            </w:r>
          </w:p>
        </w:tc>
        <w:tc>
          <w:tcPr/>
          <w:p>
            <w:pPr>
              <w:pStyle w:val="Compact"/>
              <w:jc w:val="left"/>
            </w:pPr>
            <w:r>
              <w:t xml:space="preserve">How often compliance spot-checks AI use (for example,</w:t>
            </w:r>
            <w:r>
              <w:t xml:space="preserve"> </w:t>
            </w:r>
            <w:r>
              <w:t xml:space="preserve">“</w:t>
            </w:r>
            <w:r>
              <w:t xml:space="preserve">quarterly</w:t>
            </w:r>
            <w:r>
              <w:t xml:space="preserve">”</w:t>
            </w:r>
            <w:r>
              <w:t xml:space="preserve">).</w:t>
            </w:r>
          </w:p>
        </w:tc>
      </w:tr>
      <w:tr>
        <w:tc>
          <w:tcPr/>
          <w:p>
            <w:pPr>
              <w:pStyle w:val="Compact"/>
              <w:jc w:val="left"/>
            </w:pPr>
            <w:r>
              <w:t xml:space="preserve">[VENDOR REVIEW FREQUENCY]</w:t>
            </w:r>
          </w:p>
        </w:tc>
        <w:tc>
          <w:tcPr/>
          <w:p>
            <w:pPr>
              <w:pStyle w:val="Compact"/>
              <w:jc w:val="left"/>
            </w:pPr>
            <w:r>
              <w:t xml:space="preserve">How often approved AI vendors are reassessed (for example,</w:t>
            </w:r>
            <w:r>
              <w:t xml:space="preserve"> </w:t>
            </w:r>
            <w:r>
              <w:t xml:space="preserve">“</w:t>
            </w:r>
            <w:r>
              <w:t xml:space="preserve">annually</w:t>
            </w:r>
            <w:r>
              <w:t xml:space="preserve">”</w:t>
            </w:r>
            <w:r>
              <w:t xml:space="preserve">).</w:t>
            </w:r>
          </w:p>
        </w:tc>
      </w:tr>
      <w:tr>
        <w:tc>
          <w:tcPr/>
          <w:p>
            <w:pPr>
              <w:pStyle w:val="Compact"/>
              <w:jc w:val="left"/>
            </w:pPr>
            <w:r>
              <w:t xml:space="preserve">[TRAINING DEADLINE]</w:t>
            </w:r>
          </w:p>
        </w:tc>
        <w:tc>
          <w:tcPr/>
          <w:p>
            <w:pPr>
              <w:pStyle w:val="Compact"/>
              <w:jc w:val="left"/>
            </w:pPr>
            <w:r>
              <w:t xml:space="preserve">How soon after joining people complete AI training (for example,</w:t>
            </w:r>
            <w:r>
              <w:t xml:space="preserve"> </w:t>
            </w:r>
            <w:r>
              <w:t xml:space="preserve">“</w:t>
            </w:r>
            <w:r>
              <w:t xml:space="preserve">30 days</w:t>
            </w:r>
            <w:r>
              <w:t xml:space="preserve">”</w:t>
            </w:r>
            <w:r>
              <w:t xml:space="preserve">).</w:t>
            </w:r>
          </w:p>
        </w:tc>
      </w:tr>
      <w:tr>
        <w:tc>
          <w:tcPr/>
          <w:p>
            <w:pPr>
              <w:pStyle w:val="Compact"/>
              <w:jc w:val="left"/>
            </w:pPr>
            <w:r>
              <w:t xml:space="preserve">[REVIEW DEADLINE]</w:t>
            </w:r>
          </w:p>
        </w:tc>
        <w:tc>
          <w:tcPr/>
          <w:p>
            <w:pPr>
              <w:pStyle w:val="Compact"/>
              <w:jc w:val="left"/>
            </w:pPr>
            <w:r>
              <w:t xml:space="preserve">How soon after a meeting the advisor must review an AI summary (for example,</w:t>
            </w:r>
            <w:r>
              <w:t xml:space="preserve"> </w:t>
            </w:r>
            <w:r>
              <w:t xml:space="preserve">“</w:t>
            </w:r>
            <w:r>
              <w:t xml:space="preserve">two business days</w:t>
            </w:r>
            <w:r>
              <w:t xml:space="preserve">”</w:t>
            </w:r>
            <w:r>
              <w:t xml:space="preserve">).</w:t>
            </w:r>
          </w:p>
        </w:tc>
      </w:tr>
      <w:tr>
        <w:tc>
          <w:tcPr/>
          <w:p>
            <w:pPr>
              <w:pStyle w:val="Compact"/>
              <w:jc w:val="left"/>
            </w:pPr>
            <w:r>
              <w:t xml:space="preserve">[APPROVED TOOLS LIST LOCATION]</w:t>
            </w:r>
          </w:p>
        </w:tc>
        <w:tc>
          <w:tcPr/>
          <w:p>
            <w:pPr>
              <w:pStyle w:val="Compact"/>
              <w:jc w:val="left"/>
            </w:pPr>
            <w:r>
              <w:t xml:space="preserve">Where staff find the current AI tools register (Appendix A), for example a shared drive folder or intranet page.</w:t>
            </w:r>
          </w:p>
        </w:tc>
      </w:tr>
      <w:tr>
        <w:tc>
          <w:tcPr/>
          <w:p>
            <w:pPr>
              <w:pStyle w:val="Compact"/>
              <w:jc w:val="left"/>
            </w:pPr>
            <w:r>
              <w:t xml:space="preserve">[REQUEST FORM LOCATION]</w:t>
            </w:r>
          </w:p>
        </w:tc>
        <w:tc>
          <w:tcPr/>
          <w:p>
            <w:pPr>
              <w:pStyle w:val="Compact"/>
              <w:jc w:val="left"/>
            </w:pPr>
            <w:r>
              <w:t xml:space="preserve">Where staff find and submit the new tool request form (Appendix B).</w:t>
            </w:r>
          </w:p>
        </w:tc>
      </w:tr>
      <w:tr>
        <w:tc>
          <w:tcPr/>
          <w:p>
            <w:pPr>
              <w:pStyle w:val="Compact"/>
              <w:jc w:val="left"/>
            </w:pPr>
            <w:r>
              <w:t xml:space="preserve">[ARCHIVE SYSTEM]</w:t>
            </w:r>
          </w:p>
        </w:tc>
        <w:tc>
          <w:tcPr/>
          <w:p>
            <w:pPr>
              <w:pStyle w:val="Compact"/>
              <w:jc w:val="left"/>
            </w:pPr>
            <w:r>
              <w:t xml:space="preserve">The system where the firm keeps required records (your email and communications archive, CRM or document system).</w:t>
            </w:r>
          </w:p>
        </w:tc>
      </w:tr>
      <w:tr>
        <w:tc>
          <w:tcPr/>
          <w:p>
            <w:pPr>
              <w:pStyle w:val="Compact"/>
              <w:jc w:val="left"/>
            </w:pPr>
            <w:r>
              <w:t xml:space="preserve">[CONSENT PROCEDURE LOCATION]</w:t>
            </w:r>
          </w:p>
        </w:tc>
        <w:tc>
          <w:tcPr/>
          <w:p>
            <w:pPr>
              <w:pStyle w:val="Compact"/>
              <w:jc w:val="left"/>
            </w:pPr>
            <w:r>
              <w:t xml:space="preserve">Where the firm’s meeting-recording notice and consent procedure is written down.</w:t>
            </w:r>
          </w:p>
        </w:tc>
      </w:tr>
      <w:tr>
        <w:tc>
          <w:tcPr/>
          <w:p>
            <w:pPr>
              <w:pStyle w:val="Compact"/>
              <w:jc w:val="left"/>
            </w:pPr>
            <w:r>
              <w:t xml:space="preserve">[AI DISCLOSURE RULES LOCATION]</w:t>
            </w:r>
          </w:p>
        </w:tc>
        <w:tc>
          <w:tcPr/>
          <w:p>
            <w:pPr>
              <w:pStyle w:val="Compact"/>
              <w:jc w:val="left"/>
            </w:pPr>
            <w:r>
              <w:t xml:space="preserve">Where the firm sets out when clients are told that AI was used (a section of your compliance manual, for example).</w:t>
            </w:r>
          </w:p>
        </w:tc>
      </w:tr>
      <w:tr>
        <w:tc>
          <w:tcPr/>
          <w:p>
            <w:pPr>
              <w:pStyle w:val="Compact"/>
              <w:jc w:val="left"/>
            </w:pPr>
            <w:r>
              <w:t xml:space="preserve">[RECORDS SCHEDULE LOCATION]</w:t>
            </w:r>
          </w:p>
        </w:tc>
        <w:tc>
          <w:tcPr/>
          <w:p>
            <w:pPr>
              <w:pStyle w:val="Compact"/>
              <w:jc w:val="left"/>
            </w:pPr>
            <w:r>
              <w:t xml:space="preserve">Where the firm’s records retention schedule is kept.</w:t>
            </w:r>
          </w:p>
        </w:tc>
      </w:tr>
      <w:tr>
        <w:tc>
          <w:tcPr/>
          <w:p>
            <w:pPr>
              <w:pStyle w:val="Compact"/>
              <w:jc w:val="left"/>
            </w:pPr>
            <w:r>
              <w:t xml:space="preserve">[SENSITIVE MEETING TYPES]</w:t>
            </w:r>
          </w:p>
        </w:tc>
        <w:tc>
          <w:tcPr/>
          <w:p>
            <w:pPr>
              <w:pStyle w:val="Compact"/>
              <w:jc w:val="left"/>
            </w:pPr>
            <w:r>
              <w:t xml:space="preserve">Meetings where notetakers are always off (for example, health or family matters, or legal disputes).</w:t>
            </w:r>
          </w:p>
        </w:tc>
      </w:tr>
      <w:tr>
        <w:tc>
          <w:tcPr/>
          <w:p>
            <w:pPr>
              <w:pStyle w:val="Compact"/>
              <w:jc w:val="left"/>
            </w:pPr>
            <w:r>
              <w:t xml:space="preserve">[RECORDS / TRANSCRIBES]</w:t>
            </w:r>
          </w:p>
        </w:tc>
        <w:tc>
          <w:tcPr/>
          <w:p>
            <w:pPr>
              <w:pStyle w:val="Compact"/>
              <w:jc w:val="left"/>
            </w:pPr>
            <w:r>
              <w:t xml:space="preserve">In the sample notice, keep the word that matches what your approved notetaker does.</w:t>
            </w:r>
          </w:p>
        </w:tc>
      </w:tr>
      <w:tr>
        <w:tc>
          <w:tcPr/>
          <w:p>
            <w:pPr>
              <w:pStyle w:val="Compact"/>
              <w:jc w:val="left"/>
            </w:pPr>
            <w:r>
              <w:t xml:space="preserve">[DECIDE]</w:t>
            </w:r>
          </w:p>
        </w:tc>
        <w:tc>
          <w:tcPr/>
          <w:p>
            <w:pPr>
              <w:pStyle w:val="Compact"/>
              <w:jc w:val="left"/>
            </w:pPr>
            <w:r>
              <w:t xml:space="preserve">In the records table (section 8), write the firm’s decision: kept or not kept, where, and for how long.</w:t>
            </w:r>
          </w:p>
        </w:tc>
      </w:tr>
      <w:tr>
        <w:tc>
          <w:tcPr/>
          <w:p>
            <w:pPr>
              <w:pStyle w:val="Compact"/>
              <w:jc w:val="left"/>
            </w:pPr>
            <w:r>
              <w:t xml:space="preserve">[EXAMPLE]</w:t>
            </w:r>
          </w:p>
        </w:tc>
        <w:tc>
          <w:tcPr/>
          <w:p>
            <w:pPr>
              <w:pStyle w:val="Compact"/>
              <w:jc w:val="left"/>
            </w:pPr>
            <w:r>
              <w:t xml:space="preserve">Marks sample rows in the AI tools register. Replace them with your own approved tools, or delete them.</w:t>
            </w:r>
          </w:p>
        </w:tc>
      </w:tr>
    </w:tbl>
    <w:bookmarkEnd w:id="20"/>
    <w:bookmarkStart w:id="21" w:name="Xe1c03c21e0cb284b29cf0b060431327e81fc02a"/>
    <w:p>
      <w:pPr>
        <w:pStyle w:val="Heading2"/>
      </w:pPr>
      <w:r>
        <w:t xml:space="preserve">1. Purpose, scope and who this policy applies to</w:t>
      </w:r>
    </w:p>
    <w:p>
      <w:pPr>
        <w:pStyle w:val="FirstParagraph"/>
      </w:pPr>
      <w:r>
        <w:rPr>
          <w:bCs/>
          <w:b/>
        </w:rPr>
        <w:t xml:space="preserve">1.1</w:t>
      </w:r>
      <w:r>
        <w:t xml:space="preserve"> </w:t>
      </w:r>
      <w:r>
        <w:t xml:space="preserve">This policy sets the rules for using artificial intelligence (AI) tools at [FIRM NAME] (the</w:t>
      </w:r>
      <w:r>
        <w:t xml:space="preserve"> </w:t>
      </w:r>
      <w:r>
        <w:t xml:space="preserve">“</w:t>
      </w:r>
      <w:r>
        <w:t xml:space="preserve">Firm</w:t>
      </w:r>
      <w:r>
        <w:t xml:space="preserve">”</w:t>
      </w:r>
      <w:r>
        <w:t xml:space="preserve">). Its goals are to protect client information, keep AI-assisted work accurate, meet the Firm’s recordkeeping, supervision and marketing obligations, and let Covered Persons use approved AI tools with confidence.</w:t>
      </w:r>
    </w:p>
    <w:p>
      <w:pPr>
        <w:pStyle w:val="BodyText"/>
      </w:pPr>
      <w:r>
        <w:rPr>
          <w:bCs/>
          <w:b/>
        </w:rPr>
        <w:t xml:space="preserve">1.2</w:t>
      </w:r>
      <w:r>
        <w:t xml:space="preserve"> </w:t>
      </w:r>
      <w:r>
        <w:t xml:space="preserve">This policy applies to all employees, investment adviser representatives (IARs), registered representatives, officers, contractors, temporary staff and interns of the Firm, and anyone else who performs work on the Firm’s behalf (together,</w:t>
      </w:r>
      <w:r>
        <w:t xml:space="preserve"> </w:t>
      </w:r>
      <w:r>
        <w:t xml:space="preserve">“</w:t>
      </w:r>
      <w:r>
        <w:t xml:space="preserve">Covered Persons</w:t>
      </w:r>
      <w:r>
        <w:t xml:space="preserve">”</w:t>
      </w:r>
      <w:r>
        <w:t xml:space="preserve">).</w:t>
      </w:r>
    </w:p>
    <w:p>
      <w:pPr>
        <w:pStyle w:val="BlockText"/>
      </w:pPr>
      <w:r>
        <w:t xml:space="preserve">Guidance: Delete roles your firm doesn’t have. If an outside provider handles compliance, IT or marketing for you, decide whether its people are Covered Persons under this policy or are overseen as vendors under section 10, and say which.</w:t>
      </w:r>
    </w:p>
    <w:p>
      <w:pPr>
        <w:pStyle w:val="FirstParagraph"/>
      </w:pPr>
      <w:r>
        <w:rPr>
          <w:bCs/>
          <w:b/>
        </w:rPr>
        <w:t xml:space="preserve">1.3</w:t>
      </w:r>
      <w:r>
        <w:t xml:space="preserve"> </w:t>
      </w:r>
      <w:r>
        <w:t xml:space="preserve">This policy covers any use of an AI tool for Firm business, including drafting, editing, summarizing, research, analysis, translation, meeting notes, client communications, marketing, and AI features built into software the Firm already uses.</w:t>
      </w:r>
    </w:p>
    <w:p>
      <w:pPr>
        <w:pStyle w:val="BodyText"/>
      </w:pPr>
      <w:r>
        <w:rPr>
          <w:bCs/>
          <w:b/>
        </w:rPr>
        <w:t xml:space="preserve">1.4</w:t>
      </w:r>
      <w:r>
        <w:t xml:space="preserve"> </w:t>
      </w:r>
      <w:r>
        <w:t xml:space="preserve">This policy applies on Firm-owned devices and on personal devices (such as a personal phone or home computer) used for Firm business. Whatever the device, Firm business may be done with AI tools only through accounts the Firm approves and controls.</w:t>
      </w:r>
    </w:p>
    <w:p>
      <w:pPr>
        <w:pStyle w:val="BodyText"/>
      </w:pPr>
      <w:r>
        <w:rPr>
          <w:bCs/>
          <w:b/>
        </w:rPr>
        <w:t xml:space="preserve">1.5</w:t>
      </w:r>
      <w:r>
        <w:t xml:space="preserve"> </w:t>
      </w:r>
      <w:r>
        <w:t xml:space="preserve">This policy supplements, and does not replace, the Firm’s compliance manual, written supervisory procedures, code of ethics, information security program, privacy policy, records retention schedule and business continuity plan. If this policy and another Firm policy conflict, the stricter requirement applies, and Covered Persons should ask the CCO.</w:t>
      </w:r>
    </w:p>
    <w:p>
      <w:pPr>
        <w:pStyle w:val="BlockText"/>
      </w:pPr>
      <w:r>
        <w:t xml:space="preserve">Guidance: List the documents your firm actually has. SEC-registered advisers keep written compliance policies and procedures under Rule 206(4)-7; broker-dealers keep written supervisory procedures under FINRA Rule 3110.</w:t>
      </w:r>
    </w:p>
    <w:p>
      <w:pPr>
        <w:pStyle w:val="FirstParagraph"/>
      </w:pPr>
      <w:r>
        <w:rPr>
          <w:bCs/>
          <w:b/>
        </w:rPr>
        <w:t xml:space="preserve">1.6</w:t>
      </w:r>
      <w:r>
        <w:t xml:space="preserve"> </w:t>
      </w:r>
      <w:r>
        <w:t xml:space="preserve">No SEC or FINRA rule requires a stand-alone AI policy. The Firm adopts this policy because existing obligations already reach AI use, including the Firm’s duty to maintain written compliance policies and procedures, its duty to protect client information, and its recordkeeping, communications and supervisory obligations.</w:t>
      </w:r>
    </w:p>
    <w:p>
      <w:pPr>
        <w:pStyle w:val="BlockText"/>
      </w:pPr>
      <w:r>
        <w:t xml:space="preserve">Guidance: Background from our published guide: the SEC’s 2023 proposal on predictive data analytics, which would have covered some AI use, was withdrawn in June 2025. SEC-registered advisers must adopt written policies and procedures reasonably designed to prevent violations, review them at least annually and designate a chief compliance officer (Rule 206(4)-7). FINRA’s Regulatory Notice 24-09 says its rules are intended to be technology neutral and apply to generative AI the same way they apply to any other tool, including AI features built into third-party products.</w:t>
      </w:r>
    </w:p>
    <w:p>
      <w:pPr>
        <w:pStyle w:val="FirstParagraph"/>
      </w:pPr>
      <w:r>
        <w:rPr>
          <w:bCs/>
          <w:b/>
        </w:rPr>
        <w:t xml:space="preserve">1.7</w:t>
      </w:r>
      <w:r>
        <w:t xml:space="preserve"> </w:t>
      </w:r>
      <w:r>
        <w:t xml:space="preserve">When this policy doesn’t answer a question, Covered Persons should not use the AI tool for that purpose until they have asked the AI policy owner or the CCO.</w:t>
      </w:r>
    </w:p>
    <w:p>
      <w:pPr>
        <w:pStyle w:val="BodyText"/>
      </w:pPr>
      <w:r>
        <w:rPr>
          <w:bCs/>
          <w:b/>
        </w:rPr>
        <w:t xml:space="preserve">1.8</w:t>
      </w:r>
      <w:r>
        <w:t xml:space="preserve"> </w:t>
      </w:r>
      <w:r>
        <w:t xml:space="preserve">Questions about this policy go to the AI policy owner, [POLICY OWNER], or the Chief Compliance Officer, [CCO NAME].</w:t>
      </w:r>
    </w:p>
    <w:p>
      <w:pPr>
        <w:pStyle w:val="BlockText"/>
      </w:pPr>
      <w:r>
        <w:t xml:space="preserve">Guidance: Sources for this section: SEC Rule 206(4)-7, compliance procedures and practices (eCFR), https://www.ecfr.gov/current/title-17/chapter-II/part-275/section-275.206(4)-7; FINRA Regulatory Notice 24-09, https://www.finra.org/rules-guidance/notices/24-09; SEC: withdrawal of the predictive data analytics proposal, https://www.sec.gov/rules-regulations/2025/06/s7-12-23.</w:t>
      </w:r>
    </w:p>
    <w:bookmarkEnd w:id="21"/>
    <w:bookmarkStart w:id="22" w:name="definitions"/>
    <w:p>
      <w:pPr>
        <w:pStyle w:val="Heading2"/>
      </w:pPr>
      <w:r>
        <w:t xml:space="preserve">2. Definitions</w:t>
      </w:r>
    </w:p>
    <w:p>
      <w:pPr>
        <w:pStyle w:val="FirstParagraph"/>
      </w:pPr>
      <w:r>
        <w:t xml:space="preserve">In this policy, these terms have the following meanings.</w:t>
      </w:r>
    </w:p>
    <w:p>
      <w:pPr>
        <w:pStyle w:val="BodyText"/>
      </w:pPr>
      <w:r>
        <w:rPr>
          <w:bCs/>
          <w:b/>
        </w:rPr>
        <w:t xml:space="preserve">2.1</w:t>
      </w:r>
      <w:r>
        <w:t xml:space="preserve"> </w:t>
      </w:r>
      <w:r>
        <w:t xml:space="preserve">“</w:t>
      </w:r>
      <w:r>
        <w:t xml:space="preserve">AI tool</w:t>
      </w:r>
      <w:r>
        <w:t xml:space="preserve">”</w:t>
      </w:r>
      <w:r>
        <w:t xml:space="preserve"> </w:t>
      </w:r>
      <w:r>
        <w:t xml:space="preserve">means any software, service, app, browser extension, plug-in or feature that uses machine learning or other artificial intelligence to generate, summarize, classify, transcribe, translate, analyze or act on information. It includes stand-alone tools and AI features built into other software.</w:t>
      </w:r>
    </w:p>
    <w:p>
      <w:pPr>
        <w:pStyle w:val="BodyText"/>
      </w:pPr>
      <w:r>
        <w:rPr>
          <w:bCs/>
          <w:b/>
        </w:rPr>
        <w:t xml:space="preserve">2.2</w:t>
      </w:r>
      <w:r>
        <w:t xml:space="preserve"> </w:t>
      </w:r>
      <w:r>
        <w:t xml:space="preserve">“</w:t>
      </w:r>
      <w:r>
        <w:t xml:space="preserve">Generative AI</w:t>
      </w:r>
      <w:r>
        <w:t xml:space="preserve">”</w:t>
      </w:r>
      <w:r>
        <w:t xml:space="preserve"> </w:t>
      </w:r>
      <w:r>
        <w:t xml:space="preserve">means an AI tool that produces new content, such as text, summaries, images, audio, video or code, in response to prompts, documents or other inputs.</w:t>
      </w:r>
    </w:p>
    <w:p>
      <w:pPr>
        <w:pStyle w:val="BodyText"/>
      </w:pPr>
      <w:r>
        <w:rPr>
          <w:bCs/>
          <w:b/>
        </w:rPr>
        <w:t xml:space="preserve">2.3</w:t>
      </w:r>
      <w:r>
        <w:t xml:space="preserve"> </w:t>
      </w:r>
      <w:r>
        <w:t xml:space="preserve">“</w:t>
      </w:r>
      <w:r>
        <w:t xml:space="preserve">Approved tool</w:t>
      </w:r>
      <w:r>
        <w:t xml:space="preserve">”</w:t>
      </w:r>
      <w:r>
        <w:t xml:space="preserve"> </w:t>
      </w:r>
      <w:r>
        <w:t xml:space="preserve">means an AI tool listed in the Firm’s AI tools register (Appendix A), kept at [APPROVED TOOLS LIST LOCATION].</w:t>
      </w:r>
    </w:p>
    <w:p>
      <w:pPr>
        <w:pStyle w:val="BodyText"/>
      </w:pPr>
      <w:r>
        <w:rPr>
          <w:bCs/>
          <w:b/>
        </w:rPr>
        <w:t xml:space="preserve">2.4</w:t>
      </w:r>
      <w:r>
        <w:t xml:space="preserve"> </w:t>
      </w:r>
      <w:r>
        <w:t xml:space="preserve">“</w:t>
      </w:r>
      <w:r>
        <w:t xml:space="preserve">Approved plan</w:t>
      </w:r>
      <w:r>
        <w:t xml:space="preserve">”</w:t>
      </w:r>
      <w:r>
        <w:t xml:space="preserve"> </w:t>
      </w:r>
      <w:r>
        <w:t xml:space="preserve">means the specific edition, tier or license of an approved tool that the Firm has approved, used through an account the Firm creates and controls (for example, an enterprise plan of a general AI assistant that the Firm has reviewed). Other plans of the same tool are not approved unless they are listed separately.</w:t>
      </w:r>
    </w:p>
    <w:p>
      <w:pPr>
        <w:pStyle w:val="BlockText"/>
      </w:pPr>
      <w:r>
        <w:t xml:space="preserve">Guidance: Consumer, team and enterprise plans of the same tool can differ in data controls, admin features and contract terms, so approve the plan, not just the brand.</w:t>
      </w:r>
    </w:p>
    <w:p>
      <w:pPr>
        <w:pStyle w:val="FirstParagraph"/>
      </w:pPr>
      <w:r>
        <w:rPr>
          <w:bCs/>
          <w:b/>
        </w:rPr>
        <w:t xml:space="preserve">2.5</w:t>
      </w:r>
      <w:r>
        <w:t xml:space="preserve"> </w:t>
      </w:r>
      <w:r>
        <w:t xml:space="preserve">“</w:t>
      </w:r>
      <w:r>
        <w:t xml:space="preserve">Client information</w:t>
      </w:r>
      <w:r>
        <w:t xml:space="preserve">”</w:t>
      </w:r>
      <w:r>
        <w:t xml:space="preserve"> </w:t>
      </w:r>
      <w:r>
        <w:t xml:space="preserve">means any information about a current, former or prospective client that the Firm obtains in connection with providing financial products or services, in any form, including nonpublic personal information.</w:t>
      </w:r>
    </w:p>
    <w:p>
      <w:pPr>
        <w:pStyle w:val="BodyText"/>
      </w:pPr>
      <w:r>
        <w:rPr>
          <w:bCs/>
          <w:b/>
        </w:rPr>
        <w:t xml:space="preserve">2.6</w:t>
      </w:r>
      <w:r>
        <w:t xml:space="preserve"> </w:t>
      </w:r>
      <w:r>
        <w:t xml:space="preserve">“</w:t>
      </w:r>
      <w:r>
        <w:t xml:space="preserve">Nonpublic personal information</w:t>
      </w:r>
      <w:r>
        <w:t xml:space="preserve">”</w:t>
      </w:r>
      <w:r>
        <w:t xml:space="preserve"> </w:t>
      </w:r>
      <w:r>
        <w:t xml:space="preserve">(</w:t>
      </w:r>
      <w:r>
        <w:t xml:space="preserve">“</w:t>
      </w:r>
      <w:r>
        <w:t xml:space="preserve">client NPI</w:t>
      </w:r>
      <w:r>
        <w:t xml:space="preserve">”</w:t>
      </w:r>
      <w:r>
        <w:t xml:space="preserve">) has the meaning given in Regulation S-P (17 CFR 248.3). It generally covers personally identifiable financial information about a client that isn’t publicly available, such as account numbers, balances, holdings, income and tax information.</w:t>
      </w:r>
    </w:p>
    <w:p>
      <w:pPr>
        <w:pStyle w:val="BlockText"/>
      </w:pPr>
      <w:r>
        <w:t xml:space="preserve">Guidance: Use the regulation’s definitions, not this summary, when a question turns on them. Amended Regulation S-P also uses the terms</w:t>
      </w:r>
      <w:r>
        <w:t xml:space="preserve"> </w:t>
      </w:r>
      <w:r>
        <w:t xml:space="preserve">“</w:t>
      </w:r>
      <w:r>
        <w:t xml:space="preserve">customer information</w:t>
      </w:r>
      <w:r>
        <w:t xml:space="preserve">”</w:t>
      </w:r>
      <w:r>
        <w:t xml:space="preserve"> </w:t>
      </w:r>
      <w:r>
        <w:t xml:space="preserve">and</w:t>
      </w:r>
      <w:r>
        <w:t xml:space="preserve"> </w:t>
      </w:r>
      <w:r>
        <w:t xml:space="preserve">“</w:t>
      </w:r>
      <w:r>
        <w:t xml:space="preserve">sensitive customer information</w:t>
      </w:r>
      <w:r>
        <w:t xml:space="preserve">”</w:t>
      </w:r>
      <w:r>
        <w:t xml:space="preserve"> </w:t>
      </w:r>
      <w:r>
        <w:t xml:space="preserve">in its incident response and service-provider requirements; align these definitions with your firm’s incident response program.</w:t>
      </w:r>
    </w:p>
    <w:p>
      <w:pPr>
        <w:pStyle w:val="FirstParagraph"/>
      </w:pPr>
      <w:r>
        <w:rPr>
          <w:bCs/>
          <w:b/>
        </w:rPr>
        <w:t xml:space="preserve">2.7</w:t>
      </w:r>
      <w:r>
        <w:t xml:space="preserve"> </w:t>
      </w:r>
      <w:r>
        <w:t xml:space="preserve">“</w:t>
      </w:r>
      <w:r>
        <w:t xml:space="preserve">Sensitive client information</w:t>
      </w:r>
      <w:r>
        <w:t xml:space="preserve">”</w:t>
      </w:r>
      <w:r>
        <w:t xml:space="preserve"> </w:t>
      </w:r>
      <w:r>
        <w:t xml:space="preserve">means Social Security and taxpayer identification numbers, government ID, passport and driver’s license numbers, account, policy and card numbers, passwords, PINs and access codes, full dates of birth, health information, and any other client information the Firm’s incident response program treats as sensitive customer information under Regulation S-P.</w:t>
      </w:r>
    </w:p>
    <w:p>
      <w:pPr>
        <w:pStyle w:val="BodyText"/>
      </w:pPr>
      <w:r>
        <w:rPr>
          <w:bCs/>
          <w:b/>
        </w:rPr>
        <w:t xml:space="preserve">2.8</w:t>
      </w:r>
      <w:r>
        <w:t xml:space="preserve"> </w:t>
      </w:r>
      <w:r>
        <w:t xml:space="preserve">“</w:t>
      </w:r>
      <w:r>
        <w:t xml:space="preserve">Confidential firm information</w:t>
      </w:r>
      <w:r>
        <w:t xml:space="preserve">”</w:t>
      </w:r>
      <w:r>
        <w:t xml:space="preserve"> </w:t>
      </w:r>
      <w:r>
        <w:t xml:space="preserve">means non-public information about the Firm, including business plans, financial results, employee information, vendor contracts, compliance and legal matters, investment research, trading information, and system credentials.</w:t>
      </w:r>
    </w:p>
    <w:p>
      <w:pPr>
        <w:pStyle w:val="BodyText"/>
      </w:pPr>
      <w:r>
        <w:rPr>
          <w:bCs/>
          <w:b/>
        </w:rPr>
        <w:t xml:space="preserve">2.9</w:t>
      </w:r>
      <w:r>
        <w:t xml:space="preserve"> </w:t>
      </w:r>
      <w:r>
        <w:t xml:space="preserve">“</w:t>
      </w:r>
      <w:r>
        <w:t xml:space="preserve">AI output</w:t>
      </w:r>
      <w:r>
        <w:t xml:space="preserve">”</w:t>
      </w:r>
      <w:r>
        <w:t xml:space="preserve"> </w:t>
      </w:r>
      <w:r>
        <w:t xml:space="preserve">means anything an AI tool produces, including text, summaries, transcripts, analysis, translations, images, audio, video, code and suggested actions.</w:t>
      </w:r>
    </w:p>
    <w:p>
      <w:pPr>
        <w:pStyle w:val="BodyText"/>
      </w:pPr>
      <w:r>
        <w:rPr>
          <w:bCs/>
          <w:b/>
        </w:rPr>
        <w:t xml:space="preserve">2.10</w:t>
      </w:r>
      <w:r>
        <w:t xml:space="preserve"> </w:t>
      </w:r>
      <w:r>
        <w:t xml:space="preserve">“</w:t>
      </w:r>
      <w:r>
        <w:t xml:space="preserve">AI-assisted communication</w:t>
      </w:r>
      <w:r>
        <w:t xml:space="preserve">”</w:t>
      </w:r>
      <w:r>
        <w:t xml:space="preserve"> </w:t>
      </w:r>
      <w:r>
        <w:t xml:space="preserve">means any communication sent outside the Firm (to a client, prospect, vendor, regulator or the public) or published, any part of which was drafted, edited, summarized or translated with an AI tool.</w:t>
      </w:r>
    </w:p>
    <w:p>
      <w:pPr>
        <w:pStyle w:val="BodyText"/>
      </w:pPr>
      <w:r>
        <w:rPr>
          <w:bCs/>
          <w:b/>
        </w:rPr>
        <w:t xml:space="preserve">2.11</w:t>
      </w:r>
      <w:r>
        <w:t xml:space="preserve"> </w:t>
      </w:r>
      <w:r>
        <w:t xml:space="preserve">“</w:t>
      </w:r>
      <w:r>
        <w:t xml:space="preserve">AI notetaker</w:t>
      </w:r>
      <w:r>
        <w:t xml:space="preserve">”</w:t>
      </w:r>
      <w:r>
        <w:t xml:space="preserve"> </w:t>
      </w:r>
      <w:r>
        <w:t xml:space="preserve">means an AI tool that joins, records, transcribes or summarizes meetings or calls, including notetaker features built into video-meeting, phone, CRM or other software.</w:t>
      </w:r>
    </w:p>
    <w:p>
      <w:pPr>
        <w:pStyle w:val="BodyText"/>
      </w:pPr>
      <w:r>
        <w:rPr>
          <w:bCs/>
          <w:b/>
        </w:rPr>
        <w:t xml:space="preserve">2.12</w:t>
      </w:r>
      <w:r>
        <w:t xml:space="preserve"> </w:t>
      </w:r>
      <w:r>
        <w:t xml:space="preserve">“</w:t>
      </w:r>
      <w:r>
        <w:t xml:space="preserve">De-identified</w:t>
      </w:r>
      <w:r>
        <w:t xml:space="preserve">”</w:t>
      </w:r>
      <w:r>
        <w:t xml:space="preserve"> </w:t>
      </w:r>
      <w:r>
        <w:t xml:space="preserve">means information from which names, account numbers and other details that identify a client have been removed or replaced, so that the client can’t reasonably be identified from the information alone.</w:t>
      </w:r>
    </w:p>
    <w:p>
      <w:pPr>
        <w:pStyle w:val="BodyText"/>
      </w:pPr>
      <w:r>
        <w:rPr>
          <w:bCs/>
          <w:b/>
        </w:rPr>
        <w:t xml:space="preserve">2.13</w:t>
      </w:r>
      <w:r>
        <w:t xml:space="preserve"> </w:t>
      </w:r>
      <w:r>
        <w:t xml:space="preserve">“</w:t>
      </w:r>
      <w:r>
        <w:t xml:space="preserve">Off-channel communication</w:t>
      </w:r>
      <w:r>
        <w:t xml:space="preserve">”</w:t>
      </w:r>
      <w:r>
        <w:t xml:space="preserve"> </w:t>
      </w:r>
      <w:r>
        <w:t xml:space="preserve">means a business communication sent or received through an app, account or channel the Firm hasn’t approved for business use and doesn’t capture.</w:t>
      </w:r>
    </w:p>
    <w:p>
      <w:pPr>
        <w:pStyle w:val="BodyText"/>
      </w:pPr>
      <w:r>
        <w:rPr>
          <w:bCs/>
          <w:b/>
        </w:rPr>
        <w:t xml:space="preserve">2.14</w:t>
      </w:r>
      <w:r>
        <w:t xml:space="preserve"> </w:t>
      </w:r>
      <w:r>
        <w:t xml:space="preserve">“</w:t>
      </w:r>
      <w:r>
        <w:t xml:space="preserve">AI tools register</w:t>
      </w:r>
      <w:r>
        <w:t xml:space="preserve">”</w:t>
      </w:r>
      <w:r>
        <w:t xml:space="preserve"> </w:t>
      </w:r>
      <w:r>
        <w:t xml:space="preserve">means the list in Appendix A of approved tools, approved plans, approved uses, permitted data and review dates, maintained by the AI policy owner.</w:t>
      </w:r>
    </w:p>
    <w:p>
      <w:pPr>
        <w:pStyle w:val="BlockText"/>
      </w:pPr>
      <w:r>
        <w:t xml:space="preserve">Guidance: Sources for this section: Regulation S-P definitions, 17 CFR 248.3 (eCFR), https://www.ecfr.gov/current/title-17/chapter-II/part-248/subpart-A/section-248.3; SEC: Regulation S-P amendments, final rule, https://www.sec.gov/rules-regulations/2024/06/s7-05-23.</w:t>
      </w:r>
    </w:p>
    <w:bookmarkEnd w:id="22"/>
    <w:bookmarkStart w:id="23" w:name="roles-and-responsibilities"/>
    <w:p>
      <w:pPr>
        <w:pStyle w:val="Heading2"/>
      </w:pPr>
      <w:r>
        <w:t xml:space="preserve">3. Roles and responsibilities</w:t>
      </w:r>
    </w:p>
    <w:p>
      <w:pPr>
        <w:pStyle w:val="FirstParagraph"/>
      </w:pPr>
      <w:r>
        <w:t xml:space="preserve">Everyone who uses AI at the Firm has a part to play. The table below summarizes who does what; the clauses explain each role.</w:t>
      </w:r>
    </w:p>
    <w:p>
      <w:pPr>
        <w:pStyle w:val="BodyText"/>
      </w:pPr>
      <w:r>
        <w:rPr>
          <w:bCs/>
          <w:b/>
        </w:rPr>
        <w:t xml:space="preserve">3.1</w:t>
      </w:r>
      <w:r>
        <w:t xml:space="preserve"> </w:t>
      </w:r>
      <w:r>
        <w:t xml:space="preserve">[POLICY OWNER] is the AI policy owner, with [BACKUP POLICY OWNER] as backup. The policy owner maintains this policy and the AI tools register, coordinates reviews of new tools and AI features, configures and documents tool settings with [IT/SECURITY CONTACT], and reports on AI use to the CCO at least [REVIEW FREQUENCY].</w:t>
      </w:r>
    </w:p>
    <w:p>
      <w:pPr>
        <w:pStyle w:val="BlockText"/>
      </w:pPr>
      <w:r>
        <w:t xml:space="preserve">Guidance: At a small firm the CCO is often the policy owner, and that’s fine; name a backup anyway so approvals don’t stall when one person is away.</w:t>
      </w:r>
    </w:p>
    <w:p>
      <w:pPr>
        <w:pStyle w:val="FirstParagraph"/>
      </w:pPr>
      <w:r>
        <w:rPr>
          <w:bCs/>
          <w:b/>
        </w:rPr>
        <w:t xml:space="preserve">3.2</w:t>
      </w:r>
      <w:r>
        <w:t xml:space="preserve"> </w:t>
      </w:r>
      <w:r>
        <w:t xml:space="preserve">[CCO NAME], the Chief Compliance Officer, approves this policy and any changes to it; approves or denies new AI tools, plans and use cases; grants and records exceptions; oversees monitoring, incidents and training; and includes AI use in the Firm’s annual compliance review.</w:t>
      </w:r>
    </w:p>
    <w:p>
      <w:pPr>
        <w:pStyle w:val="BodyText"/>
      </w:pPr>
      <w:r>
        <w:rPr>
          <w:bCs/>
          <w:b/>
        </w:rPr>
        <w:t xml:space="preserve">3.3</w:t>
      </w:r>
      <w:r>
        <w:t xml:space="preserve"> </w:t>
      </w:r>
      <w:r>
        <w:t xml:space="preserve">[IT/SECURITY CONTACT] manages access to approved tools (including single sign-on and multi-factor authentication where the tool supports them), removes access promptly when someone leaves or changes role, applies the data and retention settings recorded in the register, and supports vendor security reviews.</w:t>
      </w:r>
    </w:p>
    <w:p>
      <w:pPr>
        <w:pStyle w:val="BodyText"/>
      </w:pPr>
      <w:r>
        <w:rPr>
          <w:bCs/>
          <w:b/>
        </w:rPr>
        <w:t xml:space="preserve">3.4</w:t>
      </w:r>
      <w:r>
        <w:t xml:space="preserve"> </w:t>
      </w:r>
      <w:r>
        <w:t xml:space="preserve">Supervisors make sure the people they supervise use only approved tools and plans, review AI-assisted work as section 6 requires, and report suspected violations or incidents.</w:t>
      </w:r>
    </w:p>
    <w:p>
      <w:pPr>
        <w:pStyle w:val="BodyText"/>
      </w:pPr>
      <w:r>
        <w:rPr>
          <w:bCs/>
          <w:b/>
        </w:rPr>
        <w:t xml:space="preserve">3.5</w:t>
      </w:r>
      <w:r>
        <w:t xml:space="preserve"> </w:t>
      </w:r>
      <w:r>
        <w:rPr>
          <w:iCs/>
          <w:i/>
        </w:rPr>
        <w:t xml:space="preserve">(BD only)</w:t>
      </w:r>
      <w:r>
        <w:t xml:space="preserve"> </w:t>
      </w:r>
      <w:r>
        <w:t xml:space="preserve">Registered principals review AI-assisted correspondence and other communications of registered persons as the Firm’s written supervisory procedures require.</w:t>
      </w:r>
    </w:p>
    <w:p>
      <w:pPr>
        <w:pStyle w:val="BodyText"/>
      </w:pPr>
      <w:r>
        <w:rPr>
          <w:bCs/>
          <w:b/>
        </w:rPr>
        <w:t xml:space="preserve">3.6</w:t>
      </w:r>
      <w:r>
        <w:t xml:space="preserve"> </w:t>
      </w:r>
      <w:r>
        <w:t xml:space="preserve">Every Covered Person uses only approved tools and plans for Firm business, follows the data rules in section 5, reviews AI output before using it, keeps required records in Firm systems, completes training and promptly reports incidents and mistakes.</w:t>
      </w:r>
    </w:p>
    <w:p>
      <w:pPr>
        <w:pStyle w:val="TableCaption"/>
      </w:pPr>
      <w:r>
        <w:t xml:space="preserve">Who does what (R = responsible, does the work; A = accountable, signs off; C = consulted; I = informed)</w:t>
      </w:r>
    </w:p>
    <w:tbl>
      <w:tblPr>
        <w:tblStyle w:val="Table"/>
        <w:tblW w:type="auto" w:w="0"/>
        <w:tblLook w:firstRow="1" w:lastRow="0" w:firstColumn="0" w:lastColumn="0" w:noHBand="0" w:noVBand="0" w:val="0020"/>
        <w:jc w:val="start"/>
        <w:tblCaption w:val="Who does what (R = responsible, does the work; A = accountable, signs off; C = consulted; I = informed)"/>
      </w:tblPr>
      <w:tblGrid>
        <w:gridCol w:w="1584"/>
        <w:gridCol w:w="1584"/>
        <w:gridCol w:w="1584"/>
        <w:gridCol w:w="1584"/>
        <w:gridCol w:w="1584"/>
      </w:tblGrid>
      <w:tr>
        <w:trPr>
          <w:tblHeader w:val="true"/>
        </w:trPr>
        <w:tc>
          <w:tcPr/>
          <w:p>
            <w:pPr>
              <w:pStyle w:val="Compact"/>
              <w:jc w:val="left"/>
            </w:pPr>
            <w:r>
              <w:t xml:space="preserve">Task</w:t>
            </w:r>
          </w:p>
        </w:tc>
        <w:tc>
          <w:tcPr/>
          <w:p>
            <w:pPr>
              <w:pStyle w:val="Compact"/>
              <w:jc w:val="left"/>
            </w:pPr>
            <w:r>
              <w:t xml:space="preserve">Policy owner</w:t>
            </w:r>
          </w:p>
        </w:tc>
        <w:tc>
          <w:tcPr/>
          <w:p>
            <w:pPr>
              <w:pStyle w:val="Compact"/>
              <w:jc w:val="left"/>
            </w:pPr>
            <w:r>
              <w:t xml:space="preserve">CCO</w:t>
            </w:r>
          </w:p>
        </w:tc>
        <w:tc>
          <w:tcPr/>
          <w:p>
            <w:pPr>
              <w:pStyle w:val="Compact"/>
              <w:jc w:val="left"/>
            </w:pPr>
            <w:r>
              <w:t xml:space="preserve">Supervisor</w:t>
            </w:r>
          </w:p>
        </w:tc>
        <w:tc>
          <w:tcPr/>
          <w:p>
            <w:pPr>
              <w:pStyle w:val="Compact"/>
              <w:jc w:val="left"/>
            </w:pPr>
            <w:r>
              <w:t xml:space="preserve">User</w:t>
            </w:r>
          </w:p>
        </w:tc>
      </w:tr>
      <w:tr>
        <w:tc>
          <w:tcPr/>
          <w:p>
            <w:pPr>
              <w:pStyle w:val="Compact"/>
              <w:jc w:val="left"/>
            </w:pPr>
            <w:r>
              <w:t xml:space="preserve">Maintain this policy</w:t>
            </w:r>
          </w:p>
        </w:tc>
        <w:tc>
          <w:tcPr/>
          <w:p>
            <w:pPr>
              <w:pStyle w:val="Compact"/>
              <w:jc w:val="left"/>
            </w:pPr>
            <w:r>
              <w:t xml:space="preserve">R</w:t>
            </w:r>
          </w:p>
        </w:tc>
        <w:tc>
          <w:tcPr/>
          <w:p>
            <w:pPr>
              <w:pStyle w:val="Compact"/>
              <w:jc w:val="left"/>
            </w:pPr>
            <w:r>
              <w:t xml:space="preserve">A</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Keep the AI tools register current</w:t>
            </w:r>
          </w:p>
        </w:tc>
        <w:tc>
          <w:tcPr/>
          <w:p>
            <w:pPr>
              <w:pStyle w:val="Compact"/>
              <w:jc w:val="left"/>
            </w:pPr>
            <w:r>
              <w:t xml:space="preserve">R</w:t>
            </w:r>
          </w:p>
        </w:tc>
        <w:tc>
          <w:tcPr/>
          <w:p>
            <w:pPr>
              <w:pStyle w:val="Compact"/>
              <w:jc w:val="left"/>
            </w:pPr>
            <w:r>
              <w:t xml:space="preserve">A</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Request a new tool, plan or AI feature</w:t>
            </w:r>
          </w:p>
        </w:tc>
        <w:tc>
          <w:tcPr/>
          <w:p>
            <w:pPr>
              <w:pStyle w:val="Compact"/>
              <w:jc w:val="left"/>
            </w:pPr>
            <w:r>
              <w:t xml:space="preserve">C</w:t>
            </w:r>
          </w:p>
        </w:tc>
        <w:tc>
          <w:tcPr/>
          <w:p>
            <w:pPr>
              <w:pStyle w:val="Compact"/>
              <w:jc w:val="left"/>
            </w:pPr>
            <w:r>
              <w:t xml:space="preserve">A</w:t>
            </w:r>
          </w:p>
        </w:tc>
        <w:tc>
          <w:tcPr/>
          <w:p>
            <w:pPr>
              <w:pStyle w:val="Compact"/>
              <w:jc w:val="left"/>
            </w:pPr>
            <w:r>
              <w:t xml:space="preserve">C</w:t>
            </w:r>
          </w:p>
        </w:tc>
        <w:tc>
          <w:tcPr/>
          <w:p>
            <w:pPr>
              <w:pStyle w:val="Compact"/>
              <w:jc w:val="left"/>
            </w:pPr>
            <w:r>
              <w:t xml:space="preserve">R</w:t>
            </w:r>
          </w:p>
        </w:tc>
      </w:tr>
      <w:tr>
        <w:tc>
          <w:tcPr/>
          <w:p>
            <w:pPr>
              <w:pStyle w:val="Compact"/>
              <w:jc w:val="left"/>
            </w:pPr>
            <w:r>
              <w:t xml:space="preserve">Vendor due diligence</w:t>
            </w:r>
          </w:p>
        </w:tc>
        <w:tc>
          <w:tcPr/>
          <w:p>
            <w:pPr>
              <w:pStyle w:val="Compact"/>
              <w:jc w:val="left"/>
            </w:pPr>
            <w:r>
              <w:t xml:space="preserve">R</w:t>
            </w:r>
          </w:p>
        </w:tc>
        <w:tc>
          <w:tcPr/>
          <w:p>
            <w:pPr>
              <w:pStyle w:val="Compact"/>
              <w:jc w:val="left"/>
            </w:pPr>
            <w:r>
              <w:t xml:space="preserve">A</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Approve or deny a tool, plan or use case</w:t>
            </w:r>
          </w:p>
        </w:tc>
        <w:tc>
          <w:tcPr/>
          <w:p>
            <w:pPr>
              <w:pStyle w:val="Compact"/>
              <w:jc w:val="left"/>
            </w:pPr>
            <w:r>
              <w:t xml:space="preserve">C</w:t>
            </w:r>
          </w:p>
        </w:tc>
        <w:tc>
          <w:tcPr/>
          <w:p>
            <w:pPr>
              <w:pStyle w:val="Compact"/>
              <w:jc w:val="left"/>
            </w:pPr>
            <w:r>
              <w:t xml:space="preserve">A</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Review AI output before use</w:t>
            </w:r>
          </w:p>
        </w:tc>
        <w:tc>
          <w:tcPr/>
          <w:p>
            <w:pPr>
              <w:pStyle w:val="Compact"/>
              <w:jc w:val="left"/>
            </w:pPr>
            <w:r>
              <w:t xml:space="preserve">I</w:t>
            </w:r>
          </w:p>
        </w:tc>
        <w:tc>
          <w:tcPr/>
          <w:p>
            <w:pPr>
              <w:pStyle w:val="Compact"/>
              <w:jc w:val="left"/>
            </w:pPr>
            <w:r>
              <w:t xml:space="preserve">C</w:t>
            </w:r>
          </w:p>
        </w:tc>
        <w:tc>
          <w:tcPr/>
          <w:p>
            <w:pPr>
              <w:pStyle w:val="Compact"/>
              <w:jc w:val="left"/>
            </w:pPr>
            <w:r>
              <w:t xml:space="preserve">A</w:t>
            </w:r>
          </w:p>
        </w:tc>
        <w:tc>
          <w:tcPr/>
          <w:p>
            <w:pPr>
              <w:pStyle w:val="Compact"/>
              <w:jc w:val="left"/>
            </w:pPr>
            <w:r>
              <w:t xml:space="preserve">R</w:t>
            </w:r>
          </w:p>
        </w:tc>
      </w:tr>
      <w:tr>
        <w:tc>
          <w:tcPr/>
          <w:p>
            <w:pPr>
              <w:pStyle w:val="Compact"/>
              <w:jc w:val="left"/>
            </w:pPr>
            <w:r>
              <w:t xml:space="preserve">Pre-use review of AI-assisted marketing</w:t>
            </w:r>
          </w:p>
        </w:tc>
        <w:tc>
          <w:tcPr/>
          <w:p>
            <w:pPr>
              <w:pStyle w:val="Compact"/>
              <w:jc w:val="left"/>
            </w:pPr>
            <w:r>
              <w:t xml:space="preserve">I</w:t>
            </w:r>
          </w:p>
        </w:tc>
        <w:tc>
          <w:tcPr/>
          <w:p>
            <w:pPr>
              <w:pStyle w:val="Compact"/>
              <w:jc w:val="left"/>
            </w:pPr>
            <w:r>
              <w:t xml:space="preserve">A</w:t>
            </w:r>
          </w:p>
        </w:tc>
        <w:tc>
          <w:tcPr/>
          <w:p>
            <w:pPr>
              <w:pStyle w:val="Compact"/>
              <w:jc w:val="left"/>
            </w:pPr>
            <w:r>
              <w:t xml:space="preserve">C</w:t>
            </w:r>
          </w:p>
        </w:tc>
        <w:tc>
          <w:tcPr/>
          <w:p>
            <w:pPr>
              <w:pStyle w:val="Compact"/>
              <w:jc w:val="left"/>
            </w:pPr>
            <w:r>
              <w:t xml:space="preserve">R</w:t>
            </w:r>
          </w:p>
        </w:tc>
      </w:tr>
      <w:tr>
        <w:tc>
          <w:tcPr/>
          <w:p>
            <w:pPr>
              <w:pStyle w:val="Compact"/>
              <w:jc w:val="left"/>
            </w:pPr>
            <w:r>
              <w:t xml:space="preserve">Keep AI records in the Firm’s archive</w:t>
            </w:r>
          </w:p>
        </w:tc>
        <w:tc>
          <w:tcPr/>
          <w:p>
            <w:pPr>
              <w:pStyle w:val="Compact"/>
              <w:jc w:val="left"/>
            </w:pPr>
            <w:r>
              <w:t xml:space="preserve">R</w:t>
            </w:r>
          </w:p>
        </w:tc>
        <w:tc>
          <w:tcPr/>
          <w:p>
            <w:pPr>
              <w:pStyle w:val="Compact"/>
              <w:jc w:val="left"/>
            </w:pPr>
            <w:r>
              <w:t xml:space="preserve">A</w:t>
            </w:r>
          </w:p>
        </w:tc>
        <w:tc>
          <w:tcPr/>
          <w:p>
            <w:pPr>
              <w:pStyle w:val="Compact"/>
              <w:jc w:val="left"/>
            </w:pPr>
            <w:r>
              <w:t xml:space="preserve">C</w:t>
            </w:r>
          </w:p>
        </w:tc>
        <w:tc>
          <w:tcPr/>
          <w:p>
            <w:pPr>
              <w:pStyle w:val="Compact"/>
              <w:jc w:val="left"/>
            </w:pPr>
            <w:r>
              <w:t xml:space="preserve">R</w:t>
            </w:r>
          </w:p>
        </w:tc>
      </w:tr>
      <w:tr>
        <w:tc>
          <w:tcPr/>
          <w:p>
            <w:pPr>
              <w:pStyle w:val="Compact"/>
              <w:jc w:val="left"/>
            </w:pPr>
            <w:r>
              <w:t xml:space="preserve">Monitoring and spot checks</w:t>
            </w:r>
          </w:p>
        </w:tc>
        <w:tc>
          <w:tcPr/>
          <w:p>
            <w:pPr>
              <w:pStyle w:val="Compact"/>
              <w:jc w:val="left"/>
            </w:pPr>
            <w:r>
              <w:t xml:space="preserve">R</w:t>
            </w:r>
          </w:p>
        </w:tc>
        <w:tc>
          <w:tcPr/>
          <w:p>
            <w:pPr>
              <w:pStyle w:val="Compact"/>
              <w:jc w:val="left"/>
            </w:pPr>
            <w:r>
              <w:t xml:space="preserve">A</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Report an AI incident</w:t>
            </w:r>
          </w:p>
        </w:tc>
        <w:tc>
          <w:tcPr/>
          <w:p>
            <w:pPr>
              <w:pStyle w:val="Compact"/>
              <w:jc w:val="left"/>
            </w:pPr>
            <w:r>
              <w:t xml:space="preserve">I</w:t>
            </w:r>
          </w:p>
        </w:tc>
        <w:tc>
          <w:tcPr/>
          <w:p>
            <w:pPr>
              <w:pStyle w:val="Compact"/>
              <w:jc w:val="left"/>
            </w:pPr>
            <w:r>
              <w:t xml:space="preserve">A</w:t>
            </w:r>
          </w:p>
        </w:tc>
        <w:tc>
          <w:tcPr/>
          <w:p>
            <w:pPr>
              <w:pStyle w:val="Compact"/>
              <w:jc w:val="left"/>
            </w:pPr>
            <w:r>
              <w:t xml:space="preserve">C</w:t>
            </w:r>
          </w:p>
        </w:tc>
        <w:tc>
          <w:tcPr/>
          <w:p>
            <w:pPr>
              <w:pStyle w:val="Compact"/>
              <w:jc w:val="left"/>
            </w:pPr>
            <w:r>
              <w:t xml:space="preserve">R</w:t>
            </w:r>
          </w:p>
        </w:tc>
      </w:tr>
      <w:tr>
        <w:tc>
          <w:tcPr/>
          <w:p>
            <w:pPr>
              <w:pStyle w:val="Compact"/>
              <w:jc w:val="left"/>
            </w:pPr>
            <w:r>
              <w:t xml:space="preserve">Training and annual attestation</w:t>
            </w:r>
          </w:p>
        </w:tc>
        <w:tc>
          <w:tcPr/>
          <w:p>
            <w:pPr>
              <w:pStyle w:val="Compact"/>
              <w:jc w:val="left"/>
            </w:pPr>
            <w:r>
              <w:t xml:space="preserve">R</w:t>
            </w:r>
          </w:p>
        </w:tc>
        <w:tc>
          <w:tcPr/>
          <w:p>
            <w:pPr>
              <w:pStyle w:val="Compact"/>
              <w:jc w:val="left"/>
            </w:pPr>
            <w:r>
              <w:t xml:space="preserve">A</w:t>
            </w:r>
          </w:p>
        </w:tc>
        <w:tc>
          <w:tcPr/>
          <w:p>
            <w:pPr>
              <w:pStyle w:val="Compact"/>
              <w:jc w:val="left"/>
            </w:pPr>
            <w:r>
              <w:t xml:space="preserve">C</w:t>
            </w:r>
          </w:p>
        </w:tc>
        <w:tc>
          <w:tcPr/>
          <w:p>
            <w:pPr>
              <w:pStyle w:val="Compact"/>
              <w:jc w:val="left"/>
            </w:pPr>
            <w:r>
              <w:t xml:space="preserve">R</w:t>
            </w:r>
          </w:p>
        </w:tc>
      </w:tr>
      <w:tr>
        <w:tc>
          <w:tcPr/>
          <w:p>
            <w:pPr>
              <w:pStyle w:val="Compact"/>
              <w:jc w:val="left"/>
            </w:pPr>
            <w:r>
              <w:t xml:space="preserve">Grant an exception</w:t>
            </w:r>
          </w:p>
        </w:tc>
        <w:tc>
          <w:tcPr/>
          <w:p>
            <w:pPr>
              <w:pStyle w:val="Compact"/>
              <w:jc w:val="left"/>
            </w:pPr>
            <w:r>
              <w:t xml:space="preserve">C</w:t>
            </w:r>
          </w:p>
        </w:tc>
        <w:tc>
          <w:tcPr/>
          <w:p>
            <w:pPr>
              <w:pStyle w:val="Compact"/>
              <w:jc w:val="left"/>
            </w:pPr>
            <w:r>
              <w:t xml:space="preserve">A</w:t>
            </w:r>
          </w:p>
        </w:tc>
        <w:tc>
          <w:tcPr/>
          <w:p>
            <w:pPr>
              <w:pStyle w:val="Compact"/>
              <w:jc w:val="left"/>
            </w:pPr>
            <w:r>
              <w:t xml:space="preserve">C</w:t>
            </w:r>
          </w:p>
        </w:tc>
        <w:tc>
          <w:tcPr/>
          <w:p>
            <w:pPr>
              <w:pStyle w:val="Compact"/>
              <w:jc w:val="left"/>
            </w:pPr>
            <w:r>
              <w:t xml:space="preserve">I</w:t>
            </w:r>
          </w:p>
        </w:tc>
      </w:tr>
    </w:tbl>
    <w:p>
      <w:pPr>
        <w:pStyle w:val="BlockText"/>
      </w:pPr>
      <w:r>
        <w:t xml:space="preserve">Guidance: Adjust the letters to how your firm actually works. Each task should have exactly one A.</w:t>
      </w:r>
    </w:p>
    <w:p>
      <w:pPr>
        <w:pStyle w:val="BlockText"/>
      </w:pPr>
      <w:r>
        <w:t xml:space="preserve">Guidance: Sources for this section: SEC Rule 206(4)-7, compliance procedures and practices (eCFR), https://www.ecfr.gov/current/title-17/chapter-II/part-275/section-275.206(4)-7; FINRA Rule 3110 (supervision), https://www.finra.org/rules-guidance/rulebooks/finra-rules/3110.</w:t>
      </w:r>
    </w:p>
    <w:bookmarkEnd w:id="23"/>
    <w:bookmarkStart w:id="24" w:name="approved-tools-and-plans"/>
    <w:p>
      <w:pPr>
        <w:pStyle w:val="Heading2"/>
      </w:pPr>
      <w:r>
        <w:t xml:space="preserve">4. Approved tools and plans</w:t>
      </w:r>
    </w:p>
    <w:p>
      <w:pPr>
        <w:pStyle w:val="FirstParagraph"/>
      </w:pPr>
      <w:r>
        <w:rPr>
          <w:bCs/>
          <w:b/>
        </w:rPr>
        <w:t xml:space="preserve">4.1</w:t>
      </w:r>
      <w:r>
        <w:t xml:space="preserve"> </w:t>
      </w:r>
      <w:r>
        <w:t xml:space="preserve">Covered Persons may use an AI tool for Firm business only if the tool and the specific plan are listed in the AI tools register, and only for the uses and the data categories listed there. Any tool, plan or use not listed is not approved.</w:t>
      </w:r>
    </w:p>
    <w:p>
      <w:pPr>
        <w:pStyle w:val="BlockText"/>
      </w:pPr>
      <w:r>
        <w:t xml:space="preserve">Guidance: A short allowlist is easier to follow and supervise than a long list of banned apps.</w:t>
      </w:r>
    </w:p>
    <w:p>
      <w:pPr>
        <w:pStyle w:val="FirstParagraph"/>
      </w:pPr>
      <w:r>
        <w:rPr>
          <w:bCs/>
          <w:b/>
        </w:rPr>
        <w:t xml:space="preserve">4.2</w:t>
      </w:r>
      <w:r>
        <w:t xml:space="preserve"> </w:t>
      </w:r>
      <w:r>
        <w:t xml:space="preserve">Approved tools must be used through accounts the Firm creates and controls. Personal accounts, including personal accounts on an approved tool, may not be used for Firm business unless the CCO has approved that use in writing.</w:t>
      </w:r>
    </w:p>
    <w:p>
      <w:pPr>
        <w:pStyle w:val="BlockText"/>
      </w:pPr>
      <w:r>
        <w:t xml:space="preserve">Guidance: Personal accounts are hard to supervise and offboard and may sit outside the firm’s records.</w:t>
      </w:r>
    </w:p>
    <w:p>
      <w:pPr>
        <w:pStyle w:val="FirstParagraph"/>
      </w:pPr>
      <w:r>
        <w:rPr>
          <w:bCs/>
          <w:b/>
        </w:rPr>
        <w:t xml:space="preserve">4.3</w:t>
      </w:r>
      <w:r>
        <w:t xml:space="preserve"> </w:t>
      </w:r>
      <w:r>
        <w:t xml:space="preserve">AI features built into software the Firm already uses (for example, CRM, email, calendar, video-meeting, document, planning, portfolio or phone software) are AI tools under this policy. Turning on a new AI feature, or keeping one a vendor switched on by default, requires the same approval as a new tool. Covered Persons who notice a new AI feature in Firm software tell the policy owner.</w:t>
      </w:r>
    </w:p>
    <w:p>
      <w:pPr>
        <w:pStyle w:val="BlockText"/>
      </w:pPr>
      <w:r>
        <w:t xml:space="preserve">Guidance: FINRA’s Regulatory Notice 24-09 specifically mentions AI features embedded in third-party products. A new AI feature can change how client data is processed even when the product is one you’ve used for years.</w:t>
      </w:r>
    </w:p>
    <w:p>
      <w:pPr>
        <w:pStyle w:val="FirstParagraph"/>
      </w:pPr>
      <w:r>
        <w:rPr>
          <w:bCs/>
          <w:b/>
        </w:rPr>
        <w:t xml:space="preserve">4.4</w:t>
      </w:r>
      <w:r>
        <w:t xml:space="preserve"> </w:t>
      </w:r>
      <w:r>
        <w:t xml:space="preserve">AI browser extensions, plug-ins, add-ins, connectors and integrations that can read email, documents, calendars or screens are separate tools and need their own approval, even when the underlying AI tool is approved.</w:t>
      </w:r>
    </w:p>
    <w:p>
      <w:pPr>
        <w:pStyle w:val="BodyText"/>
      </w:pPr>
      <w:r>
        <w:rPr>
          <w:bCs/>
          <w:b/>
        </w:rPr>
        <w:t xml:space="preserve">4.5</w:t>
      </w:r>
      <w:r>
        <w:t xml:space="preserve"> </w:t>
      </w:r>
      <w:r>
        <w:t xml:space="preserve">To request a new AI tool, plan, feature or use case, a Covered Person completes the request form in Appendix B and sends it to [POLICY OWNER] through [REQUEST FORM LOCATION]. Covered Persons may not start a trial using client information, confidential firm information or Firm credentials before the request is approved.</w:t>
      </w:r>
    </w:p>
    <w:p>
      <w:pPr>
        <w:pStyle w:val="BodyText"/>
      </w:pPr>
      <w:r>
        <w:rPr>
          <w:bCs/>
          <w:b/>
        </w:rPr>
        <w:t xml:space="preserve">4.6</w:t>
      </w:r>
      <w:r>
        <w:t xml:space="preserve"> </w:t>
      </w:r>
      <w:r>
        <w:t xml:space="preserve">The policy owner arranges a vendor review under section 10 and recommends a decision. The CCO approves or denies the request in writing and sets any conditions (permitted uses, data allowed, required settings and who may use the tool). The policy owner records the decision, conditions and review date in the register and keeps the request and review file.</w:t>
      </w:r>
    </w:p>
    <w:p>
      <w:pPr>
        <w:pStyle w:val="BodyText"/>
      </w:pPr>
      <w:r>
        <w:rPr>
          <w:bCs/>
          <w:b/>
        </w:rPr>
        <w:t xml:space="preserve">4.7</w:t>
      </w:r>
      <w:r>
        <w:t xml:space="preserve"> </w:t>
      </w:r>
      <w:r>
        <w:rPr>
          <w:iCs/>
          <w:i/>
        </w:rPr>
        <w:t xml:space="preserve">(Optional)</w:t>
      </w:r>
      <w:r>
        <w:t xml:space="preserve"> </w:t>
      </w:r>
      <w:r>
        <w:t xml:space="preserve">Free or trial versions of AI tools may be used only with public information and only for purposes the register allows for that tool, unless the CCO approves otherwise in writing.</w:t>
      </w:r>
    </w:p>
    <w:p>
      <w:pPr>
        <w:pStyle w:val="BlockText"/>
      </w:pPr>
      <w:r>
        <w:t xml:space="preserve">Guidance: Some firms prohibit free versions for any Firm business. Choose the stricter version if your staff handle client information on most tasks.</w:t>
      </w:r>
    </w:p>
    <w:p>
      <w:pPr>
        <w:pStyle w:val="FirstParagraph"/>
      </w:pPr>
      <w:r>
        <w:rPr>
          <w:bCs/>
          <w:b/>
        </w:rPr>
        <w:t xml:space="preserve">4.8</w:t>
      </w:r>
      <w:r>
        <w:t xml:space="preserve"> </w:t>
      </w:r>
      <w:r>
        <w:t xml:space="preserve">Covered Persons may not change an approved tool’s data, sharing, retention or training settings, or connect it to other systems, unless the register allows it.</w:t>
      </w:r>
    </w:p>
    <w:p>
      <w:pPr>
        <w:pStyle w:val="BodyText"/>
      </w:pPr>
      <w:r>
        <w:rPr>
          <w:bCs/>
          <w:b/>
        </w:rPr>
        <w:t xml:space="preserve">4.9</w:t>
      </w:r>
      <w:r>
        <w:t xml:space="preserve"> </w:t>
      </w:r>
      <w:r>
        <w:t xml:space="preserve">The CCO may suspend or withdraw approval of any tool or plan at any time, for example after a vendor incident, a change in the vendor’s data terms or a failed reassessment. Covered Persons stop using a suspended tool immediately and follow the policy owner’s instructions for exporting records.</w:t>
      </w:r>
    </w:p>
    <w:p>
      <w:pPr>
        <w:pStyle w:val="BodyText"/>
      </w:pPr>
      <w:r>
        <w:rPr>
          <w:bCs/>
          <w:b/>
        </w:rPr>
        <w:t xml:space="preserve">4.10</w:t>
      </w:r>
      <w:r>
        <w:t xml:space="preserve"> </w:t>
      </w:r>
      <w:r>
        <w:t xml:space="preserve">When a Covered Person leaves the Firm or changes role, [IT/SECURITY CONTACT] removes or adjusts access to AI tools, and any Firm records in those accounts stay with the Firm.</w:t>
      </w:r>
    </w:p>
    <w:p>
      <w:pPr>
        <w:pStyle w:val="BlockText"/>
      </w:pPr>
      <w:r>
        <w:t xml:space="preserve">Guidance: Sources for this section: FINRA Regulatory Notice 24-09, https://www.finra.org/rules-guidance/notices/24-09.</w:t>
      </w:r>
    </w:p>
    <w:bookmarkEnd w:id="24"/>
    <w:bookmarkStart w:id="25" w:name="what-information-can-go-into-an-ai-tool"/>
    <w:p>
      <w:pPr>
        <w:pStyle w:val="Heading2"/>
      </w:pPr>
      <w:r>
        <w:t xml:space="preserve">5. What information can go into an AI tool</w:t>
      </w:r>
    </w:p>
    <w:p>
      <w:pPr>
        <w:pStyle w:val="FirstParagraph"/>
      </w:pPr>
      <w:r>
        <w:t xml:space="preserve">The information you put into an AI tool is the biggest risk this policy controls. Classify it first, and when in doubt, leave it out and ask.</w:t>
      </w:r>
    </w:p>
    <w:p>
      <w:pPr>
        <w:pStyle w:val="BodyText"/>
      </w:pPr>
      <w:r>
        <w:rPr>
          <w:bCs/>
          <w:b/>
        </w:rPr>
        <w:t xml:space="preserve">5.1</w:t>
      </w:r>
      <w:r>
        <w:t xml:space="preserve"> </w:t>
      </w:r>
      <w:r>
        <w:t xml:space="preserve">Before entering any information into an AI tool, Covered Persons identify which category in the table below it belongs to and confirm in the register that the tool and plan are approved for that category. Information that falls into more than one category is treated as the most restricted one.</w:t>
      </w:r>
    </w:p>
    <w:p>
      <w:pPr>
        <w:pStyle w:val="BodyText"/>
      </w:pPr>
      <w:r>
        <w:rPr>
          <w:bCs/>
          <w:b/>
        </w:rPr>
        <w:t xml:space="preserve">5.2</w:t>
      </w:r>
      <w:r>
        <w:t xml:space="preserve"> </w:t>
      </w:r>
      <w:r>
        <w:t xml:space="preserve">Unless a tool is specifically approved in writing for that data type, Covered Persons never enter into any AI tool: Social Security or taxpayer identification numbers; government ID, passport or driver’s license numbers; account, policy or card numbers; passwords, PINs, security answers or multi-factor codes; full dates of birth; health or medical information; or login credentials for any system.</w:t>
      </w:r>
    </w:p>
    <w:p>
      <w:pPr>
        <w:pStyle w:val="BlockText"/>
      </w:pPr>
      <w:r>
        <w:t xml:space="preserve">Guidance: These are the items our published guide puts in its</w:t>
      </w:r>
      <w:r>
        <w:t xml:space="preserve"> </w:t>
      </w:r>
      <w:r>
        <w:t xml:space="preserve">“</w:t>
      </w:r>
      <w:r>
        <w:t xml:space="preserve">never</w:t>
      </w:r>
      <w:r>
        <w:t xml:space="preserve">”</w:t>
      </w:r>
      <w:r>
        <w:t xml:space="preserve"> </w:t>
      </w:r>
      <w:r>
        <w:t xml:space="preserve">tier. Add any others your firm’s incident response program treats as sensitive customer information.</w:t>
      </w:r>
    </w:p>
    <w:p>
      <w:pPr>
        <w:pStyle w:val="FirstParagraph"/>
      </w:pPr>
      <w:r>
        <w:rPr>
          <w:bCs/>
          <w:b/>
        </w:rPr>
        <w:t xml:space="preserve">5.3</w:t>
      </w:r>
      <w:r>
        <w:t xml:space="preserve"> </w:t>
      </w:r>
      <w:r>
        <w:t xml:space="preserve">Even in a tool approved for client information, Covered Persons enter only the information needed for the task.</w:t>
      </w:r>
    </w:p>
    <w:p>
      <w:pPr>
        <w:pStyle w:val="BodyText"/>
      </w:pPr>
      <w:r>
        <w:rPr>
          <w:bCs/>
          <w:b/>
        </w:rPr>
        <w:t xml:space="preserve">5.4</w:t>
      </w:r>
      <w:r>
        <w:t xml:space="preserve"> </w:t>
      </w:r>
      <w:r>
        <w:t xml:space="preserve">When a task doesn’t require identifying a client, Covered Persons de-identify the information first: replace names with labels such as</w:t>
      </w:r>
      <w:r>
        <w:t xml:space="preserve"> </w:t>
      </w:r>
      <w:r>
        <w:t xml:space="preserve">“</w:t>
      </w:r>
      <w:r>
        <w:t xml:space="preserve">Client A</w:t>
      </w:r>
      <w:r>
        <w:t xml:space="preserve">”</w:t>
      </w:r>
      <w:r>
        <w:t xml:space="preserve">, remove or round figures that aren’t needed, strip account details and addresses, and remove the names of family members, employers and other identifying details.</w:t>
      </w:r>
    </w:p>
    <w:p>
      <w:pPr>
        <w:pStyle w:val="BlockText"/>
      </w:pPr>
      <w:r>
        <w:t xml:space="preserve">Guidance: Most drafting, summarizing and explaining tasks work just as well with de-identified examples. Prompts written without client identifiers make this easier.</w:t>
      </w:r>
    </w:p>
    <w:p>
      <w:pPr>
        <w:pStyle w:val="FirstParagraph"/>
      </w:pPr>
      <w:r>
        <w:rPr>
          <w:bCs/>
          <w:b/>
        </w:rPr>
        <w:t xml:space="preserve">5.5</w:t>
      </w:r>
      <w:r>
        <w:t xml:space="preserve"> </w:t>
      </w:r>
      <w:r>
        <w:t xml:space="preserve">Uploading a file (a statement, tax return, estate document, spreadsheet, recording or screenshot) is entering information. Uploads follow the same rules as typed text, and a file may be uploaded only to a tool approved for every category of information it contains.</w:t>
      </w:r>
    </w:p>
    <w:p>
      <w:pPr>
        <w:pStyle w:val="BodyText"/>
      </w:pPr>
      <w:r>
        <w:rPr>
          <w:bCs/>
          <w:b/>
        </w:rPr>
        <w:t xml:space="preserve">5.6</w:t>
      </w:r>
      <w:r>
        <w:t xml:space="preserve"> </w:t>
      </w:r>
      <w:r>
        <w:t xml:space="preserve">AI features that read or share the screen, and screenshots pasted into AI tools, can capture information the user didn’t intend to share. Covered Persons close or hide client information before using them, and use screen-reading AI features only if the register approves them.</w:t>
      </w:r>
    </w:p>
    <w:p>
      <w:pPr>
        <w:pStyle w:val="BodyText"/>
      </w:pPr>
      <w:r>
        <w:rPr>
          <w:bCs/>
          <w:b/>
        </w:rPr>
        <w:t xml:space="preserve">5.7</w:t>
      </w:r>
      <w:r>
        <w:t xml:space="preserve"> </w:t>
      </w:r>
      <w:r>
        <w:t xml:space="preserve">Covered Persons don’t enter information about third parties (for example, a client’s family members, or another firm’s confidential information) unless it is needed for the task and permitted by these data rules.</w:t>
      </w:r>
    </w:p>
    <w:p>
      <w:pPr>
        <w:pStyle w:val="BodyText"/>
      </w:pPr>
      <w:r>
        <w:rPr>
          <w:bCs/>
          <w:b/>
        </w:rPr>
        <w:t xml:space="preserve">5.8</w:t>
      </w:r>
      <w:r>
        <w:t xml:space="preserve"> </w:t>
      </w:r>
      <w:r>
        <w:rPr>
          <w:iCs/>
          <w:i/>
        </w:rPr>
        <w:t xml:space="preserve">(Optional)</w:t>
      </w:r>
      <w:r>
        <w:t xml:space="preserve"> </w:t>
      </w:r>
      <w:r>
        <w:t xml:space="preserve">Covered Persons don’t enter content the Firm licenses from others (such as research or data subscriptions) into an AI tool unless the license allows it.</w:t>
      </w:r>
    </w:p>
    <w:p>
      <w:pPr>
        <w:pStyle w:val="BodyText"/>
      </w:pPr>
      <w:r>
        <w:rPr>
          <w:bCs/>
          <w:b/>
        </w:rPr>
        <w:t xml:space="preserve">5.9</w:t>
      </w:r>
      <w:r>
        <w:t xml:space="preserve"> </w:t>
      </w:r>
      <w:r>
        <w:t xml:space="preserve">AI output that contains, or is derived from, client information is client information. It is stored, shared and disposed of under the Firm’s data and records policies, not left in personal folders or the AI tool’s history.</w:t>
      </w:r>
    </w:p>
    <w:p>
      <w:pPr>
        <w:pStyle w:val="BodyText"/>
      </w:pPr>
      <w:r>
        <w:rPr>
          <w:bCs/>
          <w:b/>
        </w:rPr>
        <w:t xml:space="preserve">5.10</w:t>
      </w:r>
      <w:r>
        <w:t xml:space="preserve"> </w:t>
      </w:r>
      <w:r>
        <w:t xml:space="preserve">A Covered Person who enters information into a tool not approved for it stops, deletes what they can without trying to fix the problem further, and reports it under section 13 within [X HOURS].</w:t>
      </w:r>
    </w:p>
    <w:p>
      <w:pPr>
        <w:pStyle w:val="TableCaption"/>
      </w:pPr>
      <w:r>
        <w:t xml:space="preserve">Data classification for AI tools</w:t>
      </w:r>
    </w:p>
    <w:tbl>
      <w:tblPr>
        <w:tblStyle w:val="Table"/>
        <w:tblW w:type="pct" w:w="5000"/>
        <w:tblLook w:firstRow="1" w:lastRow="0" w:firstColumn="0" w:lastColumn="0" w:noHBand="0" w:noVBand="0" w:val="0020"/>
        <w:jc w:val="start"/>
        <w:tblCaption w:val="Data classification for AI tools"/>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Examples</w:t>
            </w:r>
          </w:p>
        </w:tc>
        <w:tc>
          <w:tcPr/>
          <w:p>
            <w:pPr>
              <w:pStyle w:val="Compact"/>
              <w:jc w:val="left"/>
            </w:pPr>
            <w:r>
              <w:t xml:space="preserve">Allowed in approved AI tools?</w:t>
            </w:r>
          </w:p>
        </w:tc>
        <w:tc>
          <w:tcPr/>
          <w:p>
            <w:pPr>
              <w:pStyle w:val="Compact"/>
              <w:jc w:val="left"/>
            </w:pPr>
            <w:r>
              <w:t xml:space="preserve">Conditions</w:t>
            </w:r>
          </w:p>
        </w:tc>
      </w:tr>
      <w:tr>
        <w:tc>
          <w:tcPr/>
          <w:p>
            <w:pPr>
              <w:pStyle w:val="Compact"/>
              <w:jc w:val="left"/>
            </w:pPr>
            <w:r>
              <w:t xml:space="preserve">Public</w:t>
            </w:r>
          </w:p>
        </w:tc>
        <w:tc>
          <w:tcPr/>
          <w:p>
            <w:pPr>
              <w:pStyle w:val="Compact"/>
              <w:jc w:val="left"/>
            </w:pPr>
            <w:r>
              <w:t xml:space="preserve">Published articles, market data, regulatory releases, the Firm’s approved and published marketing</w:t>
            </w:r>
          </w:p>
        </w:tc>
        <w:tc>
          <w:tcPr/>
          <w:p>
            <w:pPr>
              <w:pStyle w:val="Compact"/>
              <w:jc w:val="left"/>
            </w:pPr>
            <w:r>
              <w:t xml:space="preserve">Yes, in any approved tool</w:t>
            </w:r>
          </w:p>
        </w:tc>
        <w:tc>
          <w:tcPr/>
          <w:p>
            <w:pPr>
              <w:pStyle w:val="Compact"/>
              <w:jc w:val="left"/>
            </w:pPr>
            <w:r>
              <w:t xml:space="preserve">Section 6 review before use</w:t>
            </w:r>
          </w:p>
        </w:tc>
      </w:tr>
      <w:tr>
        <w:tc>
          <w:tcPr/>
          <w:p>
            <w:pPr>
              <w:pStyle w:val="Compact"/>
              <w:jc w:val="left"/>
            </w:pPr>
            <w:r>
              <w:t xml:space="preserve">Internal</w:t>
            </w:r>
          </w:p>
        </w:tc>
        <w:tc>
          <w:tcPr/>
          <w:p>
            <w:pPr>
              <w:pStyle w:val="Compact"/>
              <w:jc w:val="left"/>
            </w:pPr>
            <w:r>
              <w:t xml:space="preserve">Templates, procedures, de-identified examples, internal drafts with no client details</w:t>
            </w:r>
          </w:p>
        </w:tc>
        <w:tc>
          <w:tcPr/>
          <w:p>
            <w:pPr>
              <w:pStyle w:val="Compact"/>
              <w:jc w:val="left"/>
            </w:pPr>
            <w:r>
              <w:t xml:space="preserve">Yes, in any approved tool</w:t>
            </w:r>
          </w:p>
        </w:tc>
        <w:tc>
          <w:tcPr/>
          <w:p>
            <w:pPr>
              <w:pStyle w:val="Compact"/>
              <w:jc w:val="left"/>
            </w:pPr>
            <w:r>
              <w:t xml:space="preserve">Firm-managed account; no client details</w:t>
            </w:r>
          </w:p>
        </w:tc>
      </w:tr>
      <w:tr>
        <w:tc>
          <w:tcPr/>
          <w:p>
            <w:pPr>
              <w:pStyle w:val="Compact"/>
              <w:jc w:val="left"/>
            </w:pPr>
            <w:r>
              <w:t xml:space="preserve">Confidential firm information</w:t>
            </w:r>
          </w:p>
        </w:tc>
        <w:tc>
          <w:tcPr/>
          <w:p>
            <w:pPr>
              <w:pStyle w:val="Compact"/>
              <w:jc w:val="left"/>
            </w:pPr>
            <w:r>
              <w:t xml:space="preserve">Business plans, financials, employee information, vendor contracts, compliance and legal matters, research</w:t>
            </w:r>
          </w:p>
        </w:tc>
        <w:tc>
          <w:tcPr/>
          <w:p>
            <w:pPr>
              <w:pStyle w:val="Compact"/>
              <w:jc w:val="left"/>
            </w:pPr>
            <w:r>
              <w:t xml:space="preserve">Only in tools the register approves for confidential information</w:t>
            </w:r>
          </w:p>
        </w:tc>
        <w:tc>
          <w:tcPr/>
          <w:p>
            <w:pPr>
              <w:pStyle w:val="Compact"/>
              <w:jc w:val="left"/>
            </w:pPr>
            <w:r>
              <w:t xml:space="preserve">Minimum necessary; approved plan only</w:t>
            </w:r>
          </w:p>
        </w:tc>
      </w:tr>
      <w:tr>
        <w:tc>
          <w:tcPr/>
          <w:p>
            <w:pPr>
              <w:pStyle w:val="Compact"/>
              <w:jc w:val="left"/>
            </w:pPr>
            <w:r>
              <w:t xml:space="preserve">Client information (including client NPI)</w:t>
            </w:r>
          </w:p>
        </w:tc>
        <w:tc>
          <w:tcPr/>
          <w:p>
            <w:pPr>
              <w:pStyle w:val="Compact"/>
              <w:jc w:val="left"/>
            </w:pPr>
            <w:r>
              <w:t xml:space="preserve">Client names, holdings, statements, tax returns, estate documents, meeting recordings and notes that identify a client</w:t>
            </w:r>
          </w:p>
        </w:tc>
        <w:tc>
          <w:tcPr/>
          <w:p>
            <w:pPr>
              <w:pStyle w:val="Compact"/>
              <w:jc w:val="left"/>
            </w:pPr>
            <w:r>
              <w:t xml:space="preserve">Only in tools the register approves for client information</w:t>
            </w:r>
          </w:p>
        </w:tc>
        <w:tc>
          <w:tcPr/>
          <w:p>
            <w:pPr>
              <w:pStyle w:val="Compact"/>
              <w:jc w:val="left"/>
            </w:pPr>
            <w:r>
              <w:t xml:space="preserve">Approved plan; Firm-managed account; vendor review complete; minimum necessary</w:t>
            </w:r>
          </w:p>
        </w:tc>
      </w:tr>
      <w:tr>
        <w:tc>
          <w:tcPr/>
          <w:p>
            <w:pPr>
              <w:pStyle w:val="Compact"/>
              <w:jc w:val="left"/>
            </w:pPr>
            <w:r>
              <w:t xml:space="preserve">Sensitive client information</w:t>
            </w:r>
          </w:p>
        </w:tc>
        <w:tc>
          <w:tcPr/>
          <w:p>
            <w:pPr>
              <w:pStyle w:val="Compact"/>
              <w:jc w:val="left"/>
            </w:pPr>
            <w:r>
              <w:t xml:space="preserve">Social Security numbers, government ID numbers, account numbers, passwords and access codes, full dates of birth, health information</w:t>
            </w:r>
          </w:p>
        </w:tc>
        <w:tc>
          <w:tcPr/>
          <w:p>
            <w:pPr>
              <w:pStyle w:val="Compact"/>
              <w:jc w:val="left"/>
            </w:pPr>
            <w:r>
              <w:t xml:space="preserve">No, unless a tool is specifically approved for that data type</w:t>
            </w:r>
          </w:p>
        </w:tc>
        <w:tc>
          <w:tcPr/>
          <w:p>
            <w:pPr>
              <w:pStyle w:val="Compact"/>
              <w:jc w:val="left"/>
            </w:pPr>
            <w:r>
              <w:t xml:space="preserve">Written CCO approval naming the data type and the tool</w:t>
            </w:r>
          </w:p>
        </w:tc>
      </w:tr>
    </w:tbl>
    <w:p>
      <w:pPr>
        <w:pStyle w:val="BlockText"/>
      </w:pPr>
      <w:r>
        <w:t xml:space="preserve">Guidance: Sources for this section: SEC: Regulation S-P amendments, final rule, https://www.sec.gov/rules-regulations/2024/06/s7-05-23; SEC: Regulation S-P small entity compliance guide, https://www.sec.gov/files/rules/final/2024/regulation-s-p-small-entity-compliance-guide.pdf; Regulation S-P definitions, 17 CFR 248.3 (eCFR), https://www.ecfr.gov/current/title-17/chapter-II/part-248/subpart-A/section-248.3.</w:t>
      </w:r>
    </w:p>
    <w:bookmarkEnd w:id="25"/>
    <w:bookmarkStart w:id="26" w:name="human-review-and-accuracy"/>
    <w:p>
      <w:pPr>
        <w:pStyle w:val="Heading2"/>
      </w:pPr>
      <w:r>
        <w:t xml:space="preserve">6. Human review and accuracy</w:t>
      </w:r>
    </w:p>
    <w:p>
      <w:pPr>
        <w:pStyle w:val="FirstParagraph"/>
      </w:pPr>
      <w:r>
        <w:rPr>
          <w:bCs/>
          <w:b/>
        </w:rPr>
        <w:t xml:space="preserve">6.1</w:t>
      </w:r>
      <w:r>
        <w:t xml:space="preserve"> </w:t>
      </w:r>
      <w:r>
        <w:t xml:space="preserve">A person is responsible for everything an AI tool produces for the Firm. AI output is a draft until a qualified Covered Person has reviewed it and decided to use it.</w:t>
      </w:r>
    </w:p>
    <w:p>
      <w:pPr>
        <w:pStyle w:val="BodyText"/>
      </w:pPr>
      <w:r>
        <w:rPr>
          <w:bCs/>
          <w:b/>
        </w:rPr>
        <w:t xml:space="preserve">6.2</w:t>
      </w:r>
      <w:r>
        <w:t xml:space="preserve"> </w:t>
      </w:r>
      <w:r>
        <w:t xml:space="preserve">Client-facing content is reviewed by the advisor responsible for the client before it is sent, and by compliance when the Firm’s procedures require it.</w:t>
      </w:r>
    </w:p>
    <w:p>
      <w:pPr>
        <w:pStyle w:val="BodyText"/>
      </w:pPr>
      <w:r>
        <w:rPr>
          <w:bCs/>
          <w:b/>
        </w:rPr>
        <w:t xml:space="preserve">6.3</w:t>
      </w:r>
      <w:r>
        <w:t xml:space="preserve"> </w:t>
      </w:r>
      <w:r>
        <w:t xml:space="preserve">Meeting summaries, action items and CRM notes produced by AI are checked against what was actually said before they become the official record (see section 9).</w:t>
      </w:r>
    </w:p>
    <w:p>
      <w:pPr>
        <w:pStyle w:val="BodyText"/>
      </w:pPr>
      <w:r>
        <w:rPr>
          <w:bCs/>
          <w:b/>
        </w:rPr>
        <w:t xml:space="preserve">6.4</w:t>
      </w:r>
      <w:r>
        <w:t xml:space="preserve"> </w:t>
      </w:r>
      <w:r>
        <w:t xml:space="preserve">Every figure, date, deadline, contribution or tax limit, rule citation and source in AI output is checked against a primary source or the Firm’s system of record (for example, the custodian, portfolio accounting or financial planning software) before use. Covered Persons instruct AI tools to write</w:t>
      </w:r>
      <w:r>
        <w:t xml:space="preserve"> </w:t>
      </w:r>
      <w:r>
        <w:t xml:space="preserve">“</w:t>
      </w:r>
      <w:r>
        <w:t xml:space="preserve">SOURCE NEEDED</w:t>
      </w:r>
      <w:r>
        <w:t xml:space="preserve">”</w:t>
      </w:r>
      <w:r>
        <w:t xml:space="preserve"> </w:t>
      </w:r>
      <w:r>
        <w:t xml:space="preserve">rather than guess a number or citation.</w:t>
      </w:r>
    </w:p>
    <w:p>
      <w:pPr>
        <w:pStyle w:val="BlockText"/>
      </w:pPr>
      <w:r>
        <w:t xml:space="preserve">Guidance: Generative AI can state wrong information confidently. FINRA’s 2026 Annual Regulatory Oversight Report lists these</w:t>
      </w:r>
      <w:r>
        <w:t xml:space="preserve"> </w:t>
      </w:r>
      <w:r>
        <w:t xml:space="preserve">“</w:t>
      </w:r>
      <w:r>
        <w:t xml:space="preserve">hallucinations</w:t>
      </w:r>
      <w:r>
        <w:t xml:space="preserve">”</w:t>
      </w:r>
      <w:r>
        <w:t xml:space="preserve"> </w:t>
      </w:r>
      <w:r>
        <w:t xml:space="preserve">among the risks firms should manage.</w:t>
      </w:r>
    </w:p>
    <w:p>
      <w:pPr>
        <w:pStyle w:val="FirstParagraph"/>
      </w:pPr>
      <w:r>
        <w:rPr>
          <w:bCs/>
          <w:b/>
        </w:rPr>
        <w:t xml:space="preserve">6.5</w:t>
      </w:r>
      <w:r>
        <w:t xml:space="preserve"> </w:t>
      </w:r>
      <w:r>
        <w:t xml:space="preserve">AI tools may help gather and organize information, but they do not make investment recommendations or best-interest or suitability determinations, and they do not make discretionary decisions. The advisor makes and documents recommendations through the Firm’s normal process and remains responsible for them.</w:t>
      </w:r>
    </w:p>
    <w:p>
      <w:pPr>
        <w:pStyle w:val="BlockText"/>
      </w:pPr>
      <w:r>
        <w:t xml:space="preserve">Guidance: For advisers, the SEC’s 2019 interpretation describes a fiduciary duty of care and loyalty that applies to the entire relationship. Using an AI tool doesn’t change who is responsible for the advice.</w:t>
      </w:r>
    </w:p>
    <w:p>
      <w:pPr>
        <w:pStyle w:val="FirstParagraph"/>
      </w:pPr>
      <w:r>
        <w:rPr>
          <w:bCs/>
          <w:b/>
        </w:rPr>
        <w:t xml:space="preserve">6.6</w:t>
      </w:r>
      <w:r>
        <w:t xml:space="preserve"> </w:t>
      </w:r>
      <w:r>
        <w:t xml:space="preserve">Reviewers look in particular for: invented facts, figures or sources; out-of-date rules, limits or prices; details from one client mixed into another client’s work; confident statements the reviewer can’t verify; and tone or promises the Firm wouldn’t approve.</w:t>
      </w:r>
    </w:p>
    <w:p>
      <w:pPr>
        <w:pStyle w:val="BodyText"/>
      </w:pPr>
      <w:r>
        <w:rPr>
          <w:bCs/>
          <w:b/>
        </w:rPr>
        <w:t xml:space="preserve">6.7</w:t>
      </w:r>
      <w:r>
        <w:t xml:space="preserve"> </w:t>
      </w:r>
      <w:r>
        <w:t xml:space="preserve">Covered Persons tell clients that AI was used in the circumstances set out in [AI DISCLOSURE RULES LOCATION], using wording the CCO has approved.</w:t>
      </w:r>
    </w:p>
    <w:p>
      <w:pPr>
        <w:pStyle w:val="BlockText"/>
      </w:pPr>
      <w:r>
        <w:t xml:space="preserve">Guidance: Our guide to the SEC Marketing Rule notes that the rule doesn’t contain an AI-specific disclosure requirement; what matters is that content isn’t false or misleading. Your firm may still choose to disclose AI use, for example for meeting notes.</w:t>
      </w:r>
    </w:p>
    <w:p>
      <w:pPr>
        <w:pStyle w:val="FirstParagraph"/>
      </w:pPr>
      <w:r>
        <w:rPr>
          <w:bCs/>
          <w:b/>
        </w:rPr>
        <w:t xml:space="preserve">6.8</w:t>
      </w:r>
      <w:r>
        <w:t xml:space="preserve"> </w:t>
      </w:r>
      <w:r>
        <w:rPr>
          <w:iCs/>
          <w:i/>
        </w:rPr>
        <w:t xml:space="preserve">(Optional)</w:t>
      </w:r>
      <w:r>
        <w:t xml:space="preserve"> </w:t>
      </w:r>
      <w:r>
        <w:t xml:space="preserve">Where the Firm evidences review of a communication or record (for example, an approval in the archive or a status in the CRM), AI-assisted work is evidenced the same way.</w:t>
      </w:r>
    </w:p>
    <w:p>
      <w:pPr>
        <w:pStyle w:val="BlockText"/>
      </w:pPr>
      <w:r>
        <w:t xml:space="preserve">Guidance: Sources for this section: FINRA 2026 Annual Regulatory Oversight Report: GenAI, https://www.finra.org/rules-guidance/guidance/reports/2026-finra-annual-regulatory-oversight-report/gen-ai; SEC: Standard of Conduct for Investment Advisers, Release IA-5248, https://www.sec.gov/rules-regulations/2019/06/ia-5248.</w:t>
      </w:r>
    </w:p>
    <w:bookmarkEnd w:id="26"/>
    <w:bookmarkStart w:id="27" w:name="client-communications-and-marketing"/>
    <w:p>
      <w:pPr>
        <w:pStyle w:val="Heading2"/>
      </w:pPr>
      <w:r>
        <w:t xml:space="preserve">7. Client communications and marketing</w:t>
      </w:r>
    </w:p>
    <w:p>
      <w:pPr>
        <w:pStyle w:val="FirstParagraph"/>
      </w:pPr>
      <w:r>
        <w:rPr>
          <w:bCs/>
          <w:b/>
        </w:rPr>
        <w:t xml:space="preserve">7.1</w:t>
      </w:r>
      <w:r>
        <w:t xml:space="preserve"> </w:t>
      </w:r>
      <w:r>
        <w:t xml:space="preserve">AI doesn’t create an exception. AI-assisted communications follow the same review, approval, supervision and archiving procedures as any other communication of the same type.</w:t>
      </w:r>
    </w:p>
    <w:p>
      <w:pPr>
        <w:pStyle w:val="BodyText"/>
      </w:pPr>
      <w:r>
        <w:rPr>
          <w:bCs/>
          <w:b/>
        </w:rPr>
        <w:t xml:space="preserve">7.2</w:t>
      </w:r>
      <w:r>
        <w:t xml:space="preserve"> </w:t>
      </w:r>
      <w:r>
        <w:rPr>
          <w:iCs/>
          <w:i/>
        </w:rPr>
        <w:t xml:space="preserve">(RIA only)</w:t>
      </w:r>
      <w:r>
        <w:t xml:space="preserve"> </w:t>
      </w:r>
      <w:r>
        <w:t xml:space="preserve">An AI-assisted communication that meets the definition of an advertisement under the SEC Marketing Rule (Rule 206(4)-1) is subject to the rule’s general prohibitions and its requirements for testimonials, endorsements, third-party ratings and performance, and goes through the Firm’s pre-use marketing review.</w:t>
      </w:r>
    </w:p>
    <w:p>
      <w:pPr>
        <w:pStyle w:val="BlockText"/>
      </w:pPr>
      <w:r>
        <w:t xml:space="preserve">Guidance: The Marketing Rule applies to advertisements however they were drafted. An advertisement is generally any direct or indirect communication to more than one person that offers the adviser’s services, with exclusions such as most one-on-one communications. A blog post, newsletter or LinkedIn post is usually in scope.</w:t>
      </w:r>
    </w:p>
    <w:p>
      <w:pPr>
        <w:pStyle w:val="FirstParagraph"/>
      </w:pPr>
      <w:r>
        <w:rPr>
          <w:bCs/>
          <w:b/>
        </w:rPr>
        <w:t xml:space="preserve">7.3</w:t>
      </w:r>
      <w:r>
        <w:t xml:space="preserve"> </w:t>
      </w:r>
      <w:r>
        <w:t xml:space="preserve">Reviewers of AI-assisted marketing look in particular for: invented statistics or sources; superlatives the Firm can’t substantiate; benefits presented without their risks or limitations; testimonials, reviews or client stories that aren’t real; and performance figures, projections or charts that didn’t come from approved data.</w:t>
      </w:r>
    </w:p>
    <w:p>
      <w:pPr>
        <w:pStyle w:val="BodyText"/>
      </w:pPr>
      <w:r>
        <w:rPr>
          <w:bCs/>
          <w:b/>
        </w:rPr>
        <w:t xml:space="preserve">7.4</w:t>
      </w:r>
      <w:r>
        <w:t xml:space="preserve"> </w:t>
      </w:r>
      <w:r>
        <w:t xml:space="preserve">Covered Persons don’t use AI tools to write testimonials, endorsements, reviews or client stories presented as real, or to generate performance figures, projections or charts for marketing.</w:t>
      </w:r>
    </w:p>
    <w:p>
      <w:pPr>
        <w:pStyle w:val="BodyText"/>
      </w:pPr>
      <w:r>
        <w:rPr>
          <w:bCs/>
          <w:b/>
        </w:rPr>
        <w:t xml:space="preserve">7.5</w:t>
      </w:r>
      <w:r>
        <w:t xml:space="preserve"> </w:t>
      </w:r>
      <w:r>
        <w:t xml:space="preserve">Any statement about how the Firm uses AI (on the website, in marketing, in pitch materials, in client communications or in regulatory filings) must be accurate and specific, and approved by the CCO before use.</w:t>
      </w:r>
    </w:p>
    <w:p>
      <w:pPr>
        <w:pStyle w:val="BlockText"/>
      </w:pPr>
      <w:r>
        <w:t xml:space="preserve">Guidance: In March 2024 the SEC settled</w:t>
      </w:r>
      <w:r>
        <w:t xml:space="preserve"> </w:t>
      </w:r>
      <w:r>
        <w:t xml:space="preserve">“</w:t>
      </w:r>
      <w:r>
        <w:t xml:space="preserve">AI washing</w:t>
      </w:r>
      <w:r>
        <w:t xml:space="preserve">”</w:t>
      </w:r>
      <w:r>
        <w:t xml:space="preserve"> </w:t>
      </w:r>
      <w:r>
        <w:t xml:space="preserve">charges against two advisers for false and misleading statements about their use of AI, and its fiscal 2026 examination priorities say examiners will review representations about AI capabilities. Describe AI use plainly, for example</w:t>
      </w:r>
      <w:r>
        <w:t xml:space="preserve"> </w:t>
      </w:r>
      <w:r>
        <w:t xml:space="preserve">“</w:t>
      </w:r>
      <w:r>
        <w:t xml:space="preserve">we use an AI notetaker to draft meeting summaries, which an advisor reviews.</w:t>
      </w:r>
      <w:r>
        <w:t xml:space="preserve">”</w:t>
      </w:r>
    </w:p>
    <w:p>
      <w:pPr>
        <w:pStyle w:val="FirstParagraph"/>
      </w:pPr>
      <w:r>
        <w:rPr>
          <w:bCs/>
          <w:b/>
        </w:rPr>
        <w:t xml:space="preserve">7.6</w:t>
      </w:r>
      <w:r>
        <w:t xml:space="preserve"> </w:t>
      </w:r>
      <w:r>
        <w:rPr>
          <w:iCs/>
          <w:i/>
        </w:rPr>
        <w:t xml:space="preserve">(BD only)</w:t>
      </w:r>
      <w:r>
        <w:t xml:space="preserve"> </w:t>
      </w:r>
      <w:r>
        <w:t xml:space="preserve">AI-assisted communications of registered representatives are subject to FINRA Rule 2210, including its content standards and any approval and filing requirements that apply to the type of communication. The Firm is responsible for the content of communications created with AI.</w:t>
      </w:r>
    </w:p>
    <w:p>
      <w:pPr>
        <w:pStyle w:val="BlockText"/>
      </w:pPr>
      <w:r>
        <w:t xml:space="preserve">Guidance: FINRA’s advertising regulation FAQ says firms are responsible for communications created with AI tools.</w:t>
      </w:r>
    </w:p>
    <w:p>
      <w:pPr>
        <w:pStyle w:val="FirstParagraph"/>
      </w:pPr>
      <w:r>
        <w:rPr>
          <w:bCs/>
          <w:b/>
        </w:rPr>
        <w:t xml:space="preserve">7.7</w:t>
      </w:r>
      <w:r>
        <w:t xml:space="preserve"> </w:t>
      </w:r>
      <w:r>
        <w:t xml:space="preserve">No AI chatbot, assistant or agent may communicate with clients or prospects on the Firm’s behalf (for example, on the website, by text or by email) without separate CCO approval, documented supervision, and capture of the conversations as records.</w:t>
      </w:r>
    </w:p>
    <w:p>
      <w:pPr>
        <w:pStyle w:val="BlockText"/>
      </w:pPr>
      <w:r>
        <w:t xml:space="preserve">Guidance: FINRA’s advertising regulation FAQ says chatbot communications with investors may be correspondence, retail or institutional communications, depending on their nature and audience, and must be supervised under its rules. Our guide to AI chatbots on advisor websites covers the checks.</w:t>
      </w:r>
    </w:p>
    <w:p>
      <w:pPr>
        <w:pStyle w:val="FirstParagraph"/>
      </w:pPr>
      <w:r>
        <w:rPr>
          <w:bCs/>
          <w:b/>
        </w:rPr>
        <w:t xml:space="preserve">7.8</w:t>
      </w:r>
      <w:r>
        <w:t xml:space="preserve"> </w:t>
      </w:r>
      <w:r>
        <w:t xml:space="preserve">AI-assisted posts and messages on social media, texting and messaging channels may be sent only from Firm-approved accounts and channels that the Firm captures and supervises.</w:t>
      </w:r>
    </w:p>
    <w:p>
      <w:pPr>
        <w:pStyle w:val="BodyText"/>
      </w:pPr>
      <w:r>
        <w:rPr>
          <w:bCs/>
          <w:b/>
        </w:rPr>
        <w:t xml:space="preserve">7.9</w:t>
      </w:r>
      <w:r>
        <w:t xml:space="preserve"> </w:t>
      </w:r>
      <w:r>
        <w:rPr>
          <w:iCs/>
          <w:i/>
        </w:rPr>
        <w:t xml:space="preserve">(Optional)</w:t>
      </w:r>
      <w:r>
        <w:t xml:space="preserve"> </w:t>
      </w:r>
      <w:r>
        <w:t xml:space="preserve">AI translations of client communications are reviewed by a person who reads both languages, or through a translation process the CCO has approved, before they are sent.</w:t>
      </w:r>
    </w:p>
    <w:p>
      <w:pPr>
        <w:pStyle w:val="BodyText"/>
      </w:pPr>
      <w:r>
        <w:rPr>
          <w:bCs/>
          <w:b/>
        </w:rPr>
        <w:t xml:space="preserve">7.10</w:t>
      </w:r>
      <w:r>
        <w:t xml:space="preserve"> </w:t>
      </w:r>
      <w:r>
        <w:t xml:space="preserve">The final, approved version of each AI-assisted advertisement or communication is kept as section 8 requires.</w:t>
      </w:r>
    </w:p>
    <w:p>
      <w:pPr>
        <w:pStyle w:val="BlockText"/>
      </w:pPr>
      <w:r>
        <w:t xml:space="preserve">Guidance: Sources for this section: SEC Marketing Rule, Rule 206(4)-1 (eCFR), https://www.ecfr.gov/current/title-17/chapter-II/part-275/section-275.206(4)-1; SEC staff Marketing Compliance FAQ, https://www.sec.gov/rules-regulations/staff-guidance/division-investment-management-frequently-asked-questions/marketing-compliance-frequently-asked-questions; SEC press release 2024-36 (AI washing), https://www.sec.gov/newsroom/press-releases/2024-36; SEC fiscal 2026 examination priorities, https://www.sec.gov/files/2026-exam-priorities.pdf; FINRA Rule 2210 (communications with the public), https://www.finra.org/rules-guidance/rulebooks/finra-rules/2210; FINRA advertising regulation FAQ, https://www.finra.org/rules-guidance/guidance/faqs/advertising-regulation.</w:t>
      </w:r>
    </w:p>
    <w:bookmarkEnd w:id="27"/>
    <w:bookmarkStart w:id="28" w:name="recordkeeping"/>
    <w:p>
      <w:pPr>
        <w:pStyle w:val="Heading2"/>
      </w:pPr>
      <w:r>
        <w:t xml:space="preserve">8. Recordkeeping</w:t>
      </w:r>
    </w:p>
    <w:p>
      <w:pPr>
        <w:pStyle w:val="FirstParagraph"/>
      </w:pPr>
      <w:r>
        <w:rPr>
          <w:bCs/>
          <w:b/>
        </w:rPr>
        <w:t xml:space="preserve">8.1</w:t>
      </w:r>
      <w:r>
        <w:t xml:space="preserve"> </w:t>
      </w:r>
      <w:r>
        <w:t xml:space="preserve">Records created or changed with AI are subject to the same books-and-records requirements as any other records. There is no AI exemption.</w:t>
      </w:r>
    </w:p>
    <w:p>
      <w:pPr>
        <w:pStyle w:val="BodyText"/>
      </w:pPr>
      <w:r>
        <w:rPr>
          <w:bCs/>
          <w:b/>
        </w:rPr>
        <w:t xml:space="preserve">8.2</w:t>
      </w:r>
      <w:r>
        <w:t xml:space="preserve"> </w:t>
      </w:r>
      <w:r>
        <w:rPr>
          <w:iCs/>
          <w:i/>
        </w:rPr>
        <w:t xml:space="preserve">(RIA only)</w:t>
      </w:r>
      <w:r>
        <w:t xml:space="preserve"> </w:t>
      </w:r>
      <w:r>
        <w:t xml:space="preserve">For the Firm’s advisory business, records required by Advisers Act Rule 204-2, including written communications relating to advice given or proposed and each advertisement the Firm disseminates, are kept for the required period, generally five years, the first two in an appropriate office of the Firm.</w:t>
      </w:r>
    </w:p>
    <w:p>
      <w:pPr>
        <w:pStyle w:val="BodyText"/>
      </w:pPr>
      <w:r>
        <w:rPr>
          <w:bCs/>
          <w:b/>
        </w:rPr>
        <w:t xml:space="preserve">8.3</w:t>
      </w:r>
      <w:r>
        <w:t xml:space="preserve"> </w:t>
      </w:r>
      <w:r>
        <w:rPr>
          <w:iCs/>
          <w:i/>
        </w:rPr>
        <w:t xml:space="preserve">(BD only)</w:t>
      </w:r>
      <w:r>
        <w:t xml:space="preserve"> </w:t>
      </w:r>
      <w:r>
        <w:t xml:space="preserve">For the Firm’s broker-dealer business, originals of communications received and copies of communications sent relating to the business as such are preserved under SEA Rule 17a-4, generally for at least three years, the first two in an easily accessible place, and books and records are kept in a format that complies with Rule 17a-4 under FINRA Rule 4511, which sets six years where no other period is specified.</w:t>
      </w:r>
    </w:p>
    <w:p>
      <w:pPr>
        <w:pStyle w:val="BodyText"/>
      </w:pPr>
      <w:r>
        <w:rPr>
          <w:bCs/>
          <w:b/>
        </w:rPr>
        <w:t xml:space="preserve">8.4</w:t>
      </w:r>
      <w:r>
        <w:t xml:space="preserve"> </w:t>
      </w:r>
      <w:r>
        <w:t xml:space="preserve">The Firm decides in writing which AI outputs it treats as records, as shown in the table below and in [RECORDS SCHEDULE LOCATION]. Covered Persons follow those decisions consistently.</w:t>
      </w:r>
    </w:p>
    <w:p>
      <w:pPr>
        <w:pStyle w:val="BlockText"/>
      </w:pPr>
      <w:r>
        <w:t xml:space="preserve">Guidance: A sent AI-drafted email is a communication like any other. Internal drafts, prompts and notetaker transcripts are less clear-cut and depend on their content, your registration and your firm’s choices, so decide them with your CCO and write the answer down.</w:t>
      </w:r>
    </w:p>
    <w:p>
      <w:pPr>
        <w:pStyle w:val="FirstParagraph"/>
      </w:pPr>
      <w:r>
        <w:rPr>
          <w:bCs/>
          <w:b/>
        </w:rPr>
        <w:t xml:space="preserve">8.5</w:t>
      </w:r>
      <w:r>
        <w:t xml:space="preserve"> </w:t>
      </w:r>
      <w:r>
        <w:t xml:space="preserve">Records are kept in [ARCHIVE SYSTEM] or another Firm-controlled system, not only in an AI vendor’s app.</w:t>
      </w:r>
    </w:p>
    <w:p>
      <w:pPr>
        <w:pStyle w:val="BodyText"/>
      </w:pPr>
      <w:r>
        <w:rPr>
          <w:bCs/>
          <w:b/>
        </w:rPr>
        <w:t xml:space="preserve">8.6</w:t>
      </w:r>
      <w:r>
        <w:t xml:space="preserve"> </w:t>
      </w:r>
      <w:r>
        <w:t xml:space="preserve">Before a vendor’s retention setting deletes recordings, transcripts, summaries, chat histories or logs, any of them the Firm treats as records are exported to the Firm’s archive. The policy owner configures vendor retention settings and records them in the register.</w:t>
      </w:r>
    </w:p>
    <w:p>
      <w:pPr>
        <w:pStyle w:val="BodyText"/>
      </w:pPr>
      <w:r>
        <w:rPr>
          <w:bCs/>
          <w:b/>
        </w:rPr>
        <w:t xml:space="preserve">8.7</w:t>
      </w:r>
      <w:r>
        <w:t xml:space="preserve"> </w:t>
      </w:r>
      <w:r>
        <w:t xml:space="preserve">Covered Persons don’t use unapproved AI apps, chatbots, messaging features or personal accounts to communicate with clients about Firm business. Business communications stay on channels the Firm approves and captures.</w:t>
      </w:r>
    </w:p>
    <w:p>
      <w:pPr>
        <w:pStyle w:val="BlockText"/>
      </w:pPr>
      <w:r>
        <w:t xml:space="preserve">Guidance: The SEC’s off-channel communications cases were about texting and messaging apps, but the principle carries over to AI apps: if the firm can’t capture a business communication, it can’t produce the record. In one August 2024 action, 26 firms agreed to pay $392.75 million combined.</w:t>
      </w:r>
    </w:p>
    <w:p>
      <w:pPr>
        <w:pStyle w:val="FirstParagraph"/>
      </w:pPr>
      <w:r>
        <w:rPr>
          <w:bCs/>
          <w:b/>
        </w:rPr>
        <w:t xml:space="preserve">8.8</w:t>
      </w:r>
      <w:r>
        <w:t xml:space="preserve"> </w:t>
      </w:r>
      <w:r>
        <w:t xml:space="preserve">Where an approved tool provides prompt and output logs, the policy owner and the CCO decide whether the Firm keeps them for monitoring, and record the decision in the register.</w:t>
      </w:r>
    </w:p>
    <w:p>
      <w:pPr>
        <w:pStyle w:val="BlockText"/>
      </w:pPr>
      <w:r>
        <w:t xml:space="preserve">Guidance: FINRA’s 2026 Annual Regulatory Oversight Report describes storing prompt and output logs, and tracking which model version was used and when, as practices firms may use to monitor AI tools.</w:t>
      </w:r>
    </w:p>
    <w:p>
      <w:pPr>
        <w:pStyle w:val="FirstParagraph"/>
      </w:pPr>
      <w:r>
        <w:rPr>
          <w:bCs/>
          <w:b/>
        </w:rPr>
        <w:t xml:space="preserve">8.9</w:t>
      </w:r>
      <w:r>
        <w:t xml:space="preserve"> </w:t>
      </w:r>
      <w:r>
        <w:t xml:space="preserve">AI-related records subject to a legal hold, regulatory request or investigation are preserved even if a vendor setting or this policy would otherwise allow them to be deleted.</w:t>
      </w:r>
    </w:p>
    <w:p>
      <w:pPr>
        <w:pStyle w:val="TableCaption"/>
      </w:pPr>
      <w:r>
        <w:t xml:space="preserve">Which AI outputs the Firm keeps (fill in the firm’s decision where it says [DECIDE])</w:t>
      </w:r>
    </w:p>
    <w:tbl>
      <w:tblPr>
        <w:tblStyle w:val="Table"/>
        <w:tblW w:type="pct" w:w="5000"/>
        <w:tblLook w:firstRow="1" w:lastRow="0" w:firstColumn="0" w:lastColumn="0" w:noHBand="0" w:noVBand="0" w:val="0020"/>
        <w:jc w:val="start"/>
        <w:tblCaption w:val="Which AI outputs the Firm keeps (fill in the firm’s decision where it says [DECIDE])"/>
      </w:tblPr>
      <w:tblGrid>
        <w:gridCol w:w="1980"/>
        <w:gridCol w:w="1980"/>
        <w:gridCol w:w="1980"/>
        <w:gridCol w:w="1980"/>
      </w:tblGrid>
      <w:tr>
        <w:trPr>
          <w:tblHeader w:val="true"/>
        </w:trPr>
        <w:tc>
          <w:tcPr/>
          <w:p>
            <w:pPr>
              <w:pStyle w:val="Compact"/>
              <w:jc w:val="left"/>
            </w:pPr>
            <w:r>
              <w:t xml:space="preserve">AI output</w:t>
            </w:r>
          </w:p>
        </w:tc>
        <w:tc>
          <w:tcPr/>
          <w:p>
            <w:pPr>
              <w:pStyle w:val="Compact"/>
              <w:jc w:val="left"/>
            </w:pPr>
            <w:r>
              <w:t xml:space="preserve">Treated as a record?</w:t>
            </w:r>
          </w:p>
        </w:tc>
        <w:tc>
          <w:tcPr/>
          <w:p>
            <w:pPr>
              <w:pStyle w:val="Compact"/>
              <w:jc w:val="left"/>
            </w:pPr>
            <w:r>
              <w:t xml:space="preserve">Where it’s kept</w:t>
            </w:r>
          </w:p>
        </w:tc>
        <w:tc>
          <w:tcPr/>
          <w:p>
            <w:pPr>
              <w:pStyle w:val="Compact"/>
              <w:jc w:val="left"/>
            </w:pPr>
            <w:r>
              <w:t xml:space="preserve">How long</w:t>
            </w:r>
          </w:p>
        </w:tc>
      </w:tr>
      <w:tr>
        <w:tc>
          <w:tcPr/>
          <w:p>
            <w:pPr>
              <w:pStyle w:val="Compact"/>
              <w:jc w:val="left"/>
            </w:pPr>
            <w:r>
              <w:t xml:space="preserve">Sent AI-assisted communications (email, letters, messages)</w:t>
            </w:r>
          </w:p>
        </w:tc>
        <w:tc>
          <w:tcPr/>
          <w:p>
            <w:pPr>
              <w:pStyle w:val="Compact"/>
              <w:jc w:val="left"/>
            </w:pPr>
            <w:r>
              <w:t xml:space="preserve">Yes, like any communication of the same type</w:t>
            </w:r>
          </w:p>
        </w:tc>
        <w:tc>
          <w:tcPr/>
          <w:p>
            <w:pPr>
              <w:pStyle w:val="Compact"/>
              <w:jc w:val="left"/>
            </w:pPr>
            <w:r>
              <w:t xml:space="preserve">[ARCHIVE SYSTEM]</w:t>
            </w:r>
          </w:p>
        </w:tc>
        <w:tc>
          <w:tcPr/>
          <w:p>
            <w:pPr>
              <w:pStyle w:val="Compact"/>
              <w:jc w:val="left"/>
            </w:pPr>
            <w:r>
              <w:t xml:space="preserve">Per the Firm’s records schedule</w:t>
            </w:r>
          </w:p>
        </w:tc>
      </w:tr>
      <w:tr>
        <w:tc>
          <w:tcPr/>
          <w:p>
            <w:pPr>
              <w:pStyle w:val="Compact"/>
              <w:jc w:val="left"/>
            </w:pPr>
            <w:r>
              <w:t xml:space="preserve">AI-assisted advertisements (final approved version)</w:t>
            </w:r>
          </w:p>
        </w:tc>
        <w:tc>
          <w:tcPr/>
          <w:p>
            <w:pPr>
              <w:pStyle w:val="Compact"/>
              <w:jc w:val="left"/>
            </w:pPr>
            <w:r>
              <w:t xml:space="preserve">Yes</w:t>
            </w:r>
          </w:p>
        </w:tc>
        <w:tc>
          <w:tcPr/>
          <w:p>
            <w:pPr>
              <w:pStyle w:val="Compact"/>
              <w:jc w:val="left"/>
            </w:pPr>
            <w:r>
              <w:t xml:space="preserve">[ARCHIVE SYSTEM]</w:t>
            </w:r>
          </w:p>
        </w:tc>
        <w:tc>
          <w:tcPr/>
          <w:p>
            <w:pPr>
              <w:pStyle w:val="Compact"/>
              <w:jc w:val="left"/>
            </w:pPr>
            <w:r>
              <w:t xml:space="preserve">Per the Firm’s records schedule</w:t>
            </w:r>
          </w:p>
        </w:tc>
      </w:tr>
      <w:tr>
        <w:tc>
          <w:tcPr/>
          <w:p>
            <w:pPr>
              <w:pStyle w:val="Compact"/>
              <w:jc w:val="left"/>
            </w:pPr>
            <w:r>
              <w:t xml:space="preserve">Client-facing chatbot conversations (if approved under 7.7)</w:t>
            </w:r>
          </w:p>
        </w:tc>
        <w:tc>
          <w:tcPr/>
          <w:p>
            <w:pPr>
              <w:pStyle w:val="Compact"/>
              <w:jc w:val="left"/>
            </w:pPr>
            <w:r>
              <w:t xml:space="preserve">Yes</w:t>
            </w:r>
          </w:p>
        </w:tc>
        <w:tc>
          <w:tcPr/>
          <w:p>
            <w:pPr>
              <w:pStyle w:val="Compact"/>
              <w:jc w:val="left"/>
            </w:pPr>
            <w:r>
              <w:t xml:space="preserve">[ARCHIVE SYSTEM]</w:t>
            </w:r>
          </w:p>
        </w:tc>
        <w:tc>
          <w:tcPr/>
          <w:p>
            <w:pPr>
              <w:pStyle w:val="Compact"/>
              <w:jc w:val="left"/>
            </w:pPr>
            <w:r>
              <w:t xml:space="preserve">Per the Firm’s records schedule</w:t>
            </w:r>
          </w:p>
        </w:tc>
      </w:tr>
      <w:tr>
        <w:tc>
          <w:tcPr/>
          <w:p>
            <w:pPr>
              <w:pStyle w:val="Compact"/>
              <w:jc w:val="left"/>
            </w:pPr>
            <w:r>
              <w:t xml:space="preserve">Approved AI meeting summaries and CRM notes</w:t>
            </w:r>
          </w:p>
        </w:tc>
        <w:tc>
          <w:tcPr/>
          <w:p>
            <w:pPr>
              <w:pStyle w:val="Compact"/>
              <w:jc w:val="left"/>
            </w:pPr>
            <w:r>
              <w:t xml:space="preserve">[DECIDE]</w:t>
            </w:r>
          </w:p>
        </w:tc>
        <w:tc>
          <w:tcPr/>
          <w:p>
            <w:pPr>
              <w:pStyle w:val="Compact"/>
              <w:jc w:val="left"/>
            </w:pPr>
            <w:r>
              <w:t xml:space="preserve">[DECIDE]</w:t>
            </w:r>
          </w:p>
        </w:tc>
        <w:tc>
          <w:tcPr/>
          <w:p>
            <w:pPr>
              <w:pStyle w:val="Compact"/>
              <w:jc w:val="left"/>
            </w:pPr>
            <w:r>
              <w:t xml:space="preserve">[DECIDE]</w:t>
            </w:r>
          </w:p>
        </w:tc>
      </w:tr>
      <w:tr>
        <w:tc>
          <w:tcPr/>
          <w:p>
            <w:pPr>
              <w:pStyle w:val="Compact"/>
              <w:jc w:val="left"/>
            </w:pPr>
            <w:r>
              <w:t xml:space="preserve">Notetaker transcripts</w:t>
            </w:r>
          </w:p>
        </w:tc>
        <w:tc>
          <w:tcPr/>
          <w:p>
            <w:pPr>
              <w:pStyle w:val="Compact"/>
              <w:jc w:val="left"/>
            </w:pPr>
            <w:r>
              <w:t xml:space="preserve">[DECIDE]</w:t>
            </w:r>
          </w:p>
        </w:tc>
        <w:tc>
          <w:tcPr/>
          <w:p>
            <w:pPr>
              <w:pStyle w:val="Compact"/>
              <w:jc w:val="left"/>
            </w:pPr>
            <w:r>
              <w:t xml:space="preserve">[DECIDE]</w:t>
            </w:r>
          </w:p>
        </w:tc>
        <w:tc>
          <w:tcPr/>
          <w:p>
            <w:pPr>
              <w:pStyle w:val="Compact"/>
              <w:jc w:val="left"/>
            </w:pPr>
            <w:r>
              <w:t xml:space="preserve">[DECIDE]</w:t>
            </w:r>
          </w:p>
        </w:tc>
      </w:tr>
      <w:tr>
        <w:tc>
          <w:tcPr/>
          <w:p>
            <w:pPr>
              <w:pStyle w:val="Compact"/>
              <w:jc w:val="left"/>
            </w:pPr>
            <w:r>
              <w:t xml:space="preserve">Meeting recordings</w:t>
            </w:r>
          </w:p>
        </w:tc>
        <w:tc>
          <w:tcPr/>
          <w:p>
            <w:pPr>
              <w:pStyle w:val="Compact"/>
              <w:jc w:val="left"/>
            </w:pPr>
            <w:r>
              <w:t xml:space="preserve">[DECIDE]</w:t>
            </w:r>
          </w:p>
        </w:tc>
        <w:tc>
          <w:tcPr/>
          <w:p>
            <w:pPr>
              <w:pStyle w:val="Compact"/>
              <w:jc w:val="left"/>
            </w:pPr>
            <w:r>
              <w:t xml:space="preserve">[DECIDE]</w:t>
            </w:r>
          </w:p>
        </w:tc>
        <w:tc>
          <w:tcPr/>
          <w:p>
            <w:pPr>
              <w:pStyle w:val="Compact"/>
              <w:jc w:val="left"/>
            </w:pPr>
            <w:r>
              <w:t xml:space="preserve">[DECIDE]</w:t>
            </w:r>
          </w:p>
        </w:tc>
      </w:tr>
      <w:tr>
        <w:tc>
          <w:tcPr/>
          <w:p>
            <w:pPr>
              <w:pStyle w:val="Compact"/>
              <w:jc w:val="left"/>
            </w:pPr>
            <w:r>
              <w:t xml:space="preserve">Prompts, chat histories and drafts</w:t>
            </w:r>
          </w:p>
        </w:tc>
        <w:tc>
          <w:tcPr/>
          <w:p>
            <w:pPr>
              <w:pStyle w:val="Compact"/>
              <w:jc w:val="left"/>
            </w:pPr>
            <w:r>
              <w:t xml:space="preserve">[DECIDE]</w:t>
            </w:r>
          </w:p>
        </w:tc>
        <w:tc>
          <w:tcPr/>
          <w:p>
            <w:pPr>
              <w:pStyle w:val="Compact"/>
              <w:jc w:val="left"/>
            </w:pPr>
            <w:r>
              <w:t xml:space="preserve">[DECIDE]</w:t>
            </w:r>
          </w:p>
        </w:tc>
        <w:tc>
          <w:tcPr/>
          <w:p>
            <w:pPr>
              <w:pStyle w:val="Compact"/>
              <w:jc w:val="left"/>
            </w:pPr>
            <w:r>
              <w:t xml:space="preserve">[DECIDE]</w:t>
            </w:r>
          </w:p>
        </w:tc>
      </w:tr>
      <w:tr>
        <w:tc>
          <w:tcPr/>
          <w:p>
            <w:pPr>
              <w:pStyle w:val="Compact"/>
              <w:jc w:val="left"/>
            </w:pPr>
            <w:r>
              <w:t xml:space="preserve">Tool logs (access, prompts, outputs, model version)</w:t>
            </w:r>
          </w:p>
        </w:tc>
        <w:tc>
          <w:tcPr/>
          <w:p>
            <w:pPr>
              <w:pStyle w:val="Compact"/>
              <w:jc w:val="left"/>
            </w:pPr>
            <w:r>
              <w:t xml:space="preserve">[DECIDE]</w:t>
            </w:r>
          </w:p>
        </w:tc>
        <w:tc>
          <w:tcPr/>
          <w:p>
            <w:pPr>
              <w:pStyle w:val="Compact"/>
              <w:jc w:val="left"/>
            </w:pPr>
            <w:r>
              <w:t xml:space="preserve">[DECIDE]</w:t>
            </w:r>
          </w:p>
        </w:tc>
        <w:tc>
          <w:tcPr/>
          <w:p>
            <w:pPr>
              <w:pStyle w:val="Compact"/>
              <w:jc w:val="left"/>
            </w:pPr>
            <w:r>
              <w:t xml:space="preserve">[DECIDE]</w:t>
            </w:r>
          </w:p>
        </w:tc>
      </w:tr>
    </w:tbl>
    <w:p>
      <w:pPr>
        <w:pStyle w:val="BlockText"/>
      </w:pPr>
      <w:r>
        <w:t xml:space="preserve">Guidance: Sources for this section: SEC Rule 204-2, books and records (eCFR), https://www.ecfr.gov/current/title-17/chapter-II/part-275/section-275.204-2; SEA Rule 17a-4 (eCFR), https://www.ecfr.gov/current/title-17/chapter-II/part-240/subject-group-ECFR3dd95cf4d3f6730/section-240.17a-4; FINRA Rule 4511 (books and records), https://www.finra.org/rules-guidance/rulebooks/finra-rules/4511; SEC press release 2024-98 (off-channel communications), https://www.sec.gov/newsroom/press-releases/2024-98; FINRA 2026 Annual Regulatory Oversight Report: GenAI, https://www.finra.org/rules-guidance/guidance/reports/2026-finra-annual-regulatory-oversight-report/gen-ai.</w:t>
      </w:r>
    </w:p>
    <w:bookmarkEnd w:id="28"/>
    <w:bookmarkStart w:id="29" w:name="ai-meeting-notetakers"/>
    <w:p>
      <w:pPr>
        <w:pStyle w:val="Heading2"/>
      </w:pPr>
      <w:r>
        <w:t xml:space="preserve">9. AI meeting notetakers</w:t>
      </w:r>
    </w:p>
    <w:p>
      <w:pPr>
        <w:pStyle w:val="FirstParagraph"/>
      </w:pPr>
      <w:r>
        <w:rPr>
          <w:bCs/>
          <w:b/>
        </w:rPr>
        <w:t xml:space="preserve">9.1</w:t>
      </w:r>
      <w:r>
        <w:t xml:space="preserve"> </w:t>
      </w:r>
      <w:r>
        <w:t xml:space="preserve">Only AI notetakers listed in the register may be used in meetings or calls about Firm business, including notetaker features built into video-meeting, phone and CRM software.</w:t>
      </w:r>
    </w:p>
    <w:p>
      <w:pPr>
        <w:pStyle w:val="BodyText"/>
      </w:pPr>
      <w:r>
        <w:rPr>
          <w:bCs/>
          <w:b/>
        </w:rPr>
        <w:t xml:space="preserve">9.2</w:t>
      </w:r>
      <w:r>
        <w:t xml:space="preserve"> </w:t>
      </w:r>
      <w:r>
        <w:t xml:space="preserve">Before an AI notetaker records or transcribes a meeting or call with a client or prospect, the advisor gives notice and asks for consent following [CONSENT PROCEDURE LOCATION], and documents the response. Recording-consent laws vary by state, and some require every party’s consent, so when participants are in different states the Firm’s procedure applies the stricter standard.</w:t>
      </w:r>
    </w:p>
    <w:p>
      <w:pPr>
        <w:pStyle w:val="BlockText"/>
      </w:pPr>
      <w:r>
        <w:t xml:space="preserve">Guidance: Many firms ask for and document consent at the start of every recorded meeting. Have counsel confirm your consent procedure for the states where you and your clients are. A sample notice:</w:t>
      </w:r>
      <w:r>
        <w:t xml:space="preserve"> </w:t>
      </w:r>
      <w:r>
        <w:t xml:space="preserve">“</w:t>
      </w:r>
      <w:r>
        <w:t xml:space="preserve">With your permission, I use an AI notetaker that [RECORDS / TRANSCRIBES] our meeting so I can focus on our conversation. I review the summary, and it’s kept in our records. Is that all right with you?</w:t>
      </w:r>
      <w:r>
        <w:t xml:space="preserve">”</w:t>
      </w:r>
    </w:p>
    <w:p>
      <w:pPr>
        <w:pStyle w:val="FirstParagraph"/>
      </w:pPr>
      <w:r>
        <w:rPr>
          <w:bCs/>
          <w:b/>
        </w:rPr>
        <w:t xml:space="preserve">9.3</w:t>
      </w:r>
      <w:r>
        <w:t xml:space="preserve"> </w:t>
      </w:r>
      <w:r>
        <w:t xml:space="preserve">If a client or any other participant declines, or asks at any point to stop, the advisor turns the notetaker off for that meeting and takes notes manually. The preference is noted in the CRM, and the client is not pressured or treated differently.</w:t>
      </w:r>
    </w:p>
    <w:p>
      <w:pPr>
        <w:pStyle w:val="BodyText"/>
      </w:pPr>
      <w:r>
        <w:rPr>
          <w:bCs/>
          <w:b/>
        </w:rPr>
        <w:t xml:space="preserve">9.4</w:t>
      </w:r>
      <w:r>
        <w:t xml:space="preserve"> </w:t>
      </w:r>
      <w:r>
        <w:t xml:space="preserve">An AI notetaker is used in a meeting that includes third parties (for example, a client’s attorney, CPA or family members) only if every participant has been given notice and has consented.</w:t>
      </w:r>
    </w:p>
    <w:p>
      <w:pPr>
        <w:pStyle w:val="BodyText"/>
      </w:pPr>
      <w:r>
        <w:rPr>
          <w:bCs/>
          <w:b/>
        </w:rPr>
        <w:t xml:space="preserve">9.5</w:t>
      </w:r>
      <w:r>
        <w:t xml:space="preserve"> </w:t>
      </w:r>
      <w:r>
        <w:t xml:space="preserve">The advisor reviews and corrects every AI summary, action list and follow-up draft within [REVIEW DEADLINE] of the meeting, and before it is saved as the official note or sent to anyone.</w:t>
      </w:r>
    </w:p>
    <w:p>
      <w:pPr>
        <w:pStyle w:val="BlockText"/>
      </w:pPr>
      <w:r>
        <w:t xml:space="preserve">Guidance: Check names, numbers, dates, action items and anything the client asked you to do. The AI meeting summary check prompt on our prompts page helps with this review.</w:t>
      </w:r>
    </w:p>
    <w:p>
      <w:pPr>
        <w:pStyle w:val="FirstParagraph"/>
      </w:pPr>
      <w:r>
        <w:rPr>
          <w:bCs/>
          <w:b/>
        </w:rPr>
        <w:t xml:space="preserve">9.6</w:t>
      </w:r>
      <w:r>
        <w:t xml:space="preserve"> </w:t>
      </w:r>
      <w:r>
        <w:t xml:space="preserve">The Firm keeps the notetaker outputs listed in section 8 in its archive. Other outputs are deleted under the vendor retention settings the policy owner has configured and recorded in the register.</w:t>
      </w:r>
    </w:p>
    <w:p>
      <w:pPr>
        <w:pStyle w:val="BodyText"/>
      </w:pPr>
      <w:r>
        <w:rPr>
          <w:bCs/>
          <w:b/>
        </w:rPr>
        <w:t xml:space="preserve">9.7</w:t>
      </w:r>
      <w:r>
        <w:t xml:space="preserve"> </w:t>
      </w:r>
      <w:r>
        <w:rPr>
          <w:iCs/>
          <w:i/>
        </w:rPr>
        <w:t xml:space="preserve">(Optional)</w:t>
      </w:r>
      <w:r>
        <w:t xml:space="preserve"> </w:t>
      </w:r>
      <w:r>
        <w:t xml:space="preserve">Notetakers stay off for meetings the Firm designates as sensitive: [SENSITIVE MEETING TYPES].</w:t>
      </w:r>
    </w:p>
    <w:p>
      <w:pPr>
        <w:pStyle w:val="BodyText"/>
      </w:pPr>
      <w:r>
        <w:rPr>
          <w:bCs/>
          <w:b/>
        </w:rPr>
        <w:t xml:space="preserve">9.8</w:t>
      </w:r>
      <w:r>
        <w:t xml:space="preserve"> </w:t>
      </w:r>
      <w:r>
        <w:t xml:space="preserve">Personal or unapproved notetaker accounts may not join Firm meetings. If another participant’s notetaker joins a meeting that involves client information, the advisor may ask for it to be removed or reschedule.</w:t>
      </w:r>
    </w:p>
    <w:p>
      <w:pPr>
        <w:pStyle w:val="BodyText"/>
      </w:pPr>
      <w:r>
        <w:rPr>
          <w:bCs/>
          <w:b/>
        </w:rPr>
        <w:t xml:space="preserve">9.9</w:t>
      </w:r>
      <w:r>
        <w:t xml:space="preserve"> </w:t>
      </w:r>
      <w:r>
        <w:t xml:space="preserve">In-person meetings recorded through a mobile notetaker app follow the same notice, consent and review rules as video calls.</w:t>
      </w:r>
    </w:p>
    <w:p>
      <w:pPr>
        <w:pStyle w:val="BlockText"/>
      </w:pPr>
      <w:r>
        <w:t xml:space="preserve">Guidance: Sources for this section: FINRA 2026 Annual Regulatory Oversight Report: GenAI, https://www.finra.org/rules-guidance/guidance/reports/2026-finra-annual-regulatory-oversight-report/gen-ai.</w:t>
      </w:r>
    </w:p>
    <w:bookmarkEnd w:id="29"/>
    <w:bookmarkStart w:id="30" w:name="vendor-due-diligence-and-oversight"/>
    <w:p>
      <w:pPr>
        <w:pStyle w:val="Heading2"/>
      </w:pPr>
      <w:r>
        <w:t xml:space="preserve">10. Vendor due diligence and oversight</w:t>
      </w:r>
    </w:p>
    <w:p>
      <w:pPr>
        <w:pStyle w:val="FirstParagraph"/>
      </w:pPr>
      <w:r>
        <w:rPr>
          <w:bCs/>
          <w:b/>
        </w:rPr>
        <w:t xml:space="preserve">10.1</w:t>
      </w:r>
      <w:r>
        <w:t xml:space="preserve"> </w:t>
      </w:r>
      <w:r>
        <w:t xml:space="preserve">No AI tool that will receive client information or confidential firm information is approved until a vendor review is complete and documented. Appendix C lists the minimum questions.</w:t>
      </w:r>
    </w:p>
    <w:p>
      <w:pPr>
        <w:pStyle w:val="BodyText"/>
      </w:pPr>
      <w:r>
        <w:rPr>
          <w:bCs/>
          <w:b/>
        </w:rPr>
        <w:t xml:space="preserve">10.2</w:t>
      </w:r>
      <w:r>
        <w:t xml:space="preserve"> </w:t>
      </w:r>
      <w:r>
        <w:t xml:space="preserve">The depth of review is scaled to risk, based on the information the tool will receive and whether it communicates with clients. A tool that only sees public information gets a lighter review; a tool that receives client information, records meetings or communicates with clients gets the full review.</w:t>
      </w:r>
    </w:p>
    <w:p>
      <w:pPr>
        <w:pStyle w:val="BlockText"/>
      </w:pPr>
      <w:r>
        <w:t xml:space="preserve">Guidance: Some firms sort tools into risk tiers by data and client contact and set the depth of diligence by tier.</w:t>
      </w:r>
    </w:p>
    <w:p>
      <w:pPr>
        <w:pStyle w:val="FirstParagraph"/>
      </w:pPr>
      <w:r>
        <w:rPr>
          <w:bCs/>
          <w:b/>
        </w:rPr>
        <w:t xml:space="preserve">10.3</w:t>
      </w:r>
      <w:r>
        <w:t xml:space="preserve"> </w:t>
      </w:r>
      <w:r>
        <w:t xml:space="preserve">The review covers at least: whether Firm data is used to train or improve any model (for the specific plan, and whether that is in the contract); who at the vendor can see Firm data; default retention and deletion for each data type, including backups; where data is stored and processed; sub-processors, including AI model providers; independent security reports, such as a SOC 2 Type 2 report, including their scope and exceptions; access controls (single sign-on, multi-factor authentication, roles and audit logs); breach notification; and data export and deletion when the contract ends.</w:t>
      </w:r>
    </w:p>
    <w:p>
      <w:pPr>
        <w:pStyle w:val="BodyText"/>
      </w:pPr>
      <w:r>
        <w:rPr>
          <w:bCs/>
          <w:b/>
        </w:rPr>
        <w:t xml:space="preserve">10.4</w:t>
      </w:r>
      <w:r>
        <w:t xml:space="preserve"> </w:t>
      </w:r>
      <w:r>
        <w:t xml:space="preserve">A SOC 2 report or other attestation is evidence to read, not a substitute for the review. The reviewer checks that the product the Firm is buying is in scope, notes any exceptions and the report period, and asks the AI-specific questions a SOC 2 report doesn’t cover.</w:t>
      </w:r>
    </w:p>
    <w:p>
      <w:pPr>
        <w:pStyle w:val="BlockText"/>
      </w:pPr>
      <w:r>
        <w:t xml:space="preserve">Guidance: A SOC 2 report is an examination by an independent CPA firm of controls relevant to security, availability, processing integrity, confidentiality and privacy. It isn’t a certification or a guarantee.</w:t>
      </w:r>
    </w:p>
    <w:p>
      <w:pPr>
        <w:pStyle w:val="FirstParagraph"/>
      </w:pPr>
      <w:r>
        <w:rPr>
          <w:bCs/>
          <w:b/>
        </w:rPr>
        <w:t xml:space="preserve">10.5</w:t>
      </w:r>
      <w:r>
        <w:t xml:space="preserve"> </w:t>
      </w:r>
      <w:r>
        <w:t xml:space="preserve">For any vendor that receives client information, the Firm’s service-provider oversight includes written terms requiring the vendor to notify the Firm as soon as possible, and no later than 72 hours, after becoming aware of a breach resulting in unauthorized access to a customer information system the vendor maintains.</w:t>
      </w:r>
    </w:p>
    <w:p>
      <w:pPr>
        <w:pStyle w:val="BlockText"/>
      </w:pPr>
      <w:r>
        <w:t xml:space="preserve">Guidance: Amended Regulation S-P requires covered institutions, including SEC-registered advisers and broker-dealers, to have an incident response program that includes oversight of service providers. Larger entities had to comply by December 3, 2025 and smaller entities by June 3, 2026, so the requirements now apply to all covered firms.</w:t>
      </w:r>
    </w:p>
    <w:p>
      <w:pPr>
        <w:pStyle w:val="FirstParagraph"/>
      </w:pPr>
      <w:r>
        <w:rPr>
          <w:bCs/>
          <w:b/>
        </w:rPr>
        <w:t xml:space="preserve">10.6</w:t>
      </w:r>
      <w:r>
        <w:t xml:space="preserve"> </w:t>
      </w:r>
      <w:r>
        <w:t xml:space="preserve">Before signing, the Firm confirms the contract covers: data use limits (no training on Firm data, no sale, use only to provide the service); confidentiality and security obligations that flow down to sub-processors; breach notice; audit and information rights, such as access to security reports; advance notice of new sub-processors and material changes to models, features or data terms; termination assistance with data export and certified deletion; and cooperation in producing records for regulators.</w:t>
      </w:r>
    </w:p>
    <w:p>
      <w:pPr>
        <w:pStyle w:val="BodyText"/>
      </w:pPr>
      <w:r>
        <w:rPr>
          <w:bCs/>
          <w:b/>
        </w:rPr>
        <w:t xml:space="preserve">10.7</w:t>
      </w:r>
      <w:r>
        <w:t xml:space="preserve"> </w:t>
      </w:r>
      <w:r>
        <w:rPr>
          <w:iCs/>
          <w:i/>
        </w:rPr>
        <w:t xml:space="preserve">(BD only)</w:t>
      </w:r>
      <w:r>
        <w:t xml:space="preserve"> </w:t>
      </w:r>
      <w:r>
        <w:t xml:space="preserve">Outsourcing a function to an AI vendor doesn’t relieve the Firm of its supervisory obligations for that function.</w:t>
      </w:r>
    </w:p>
    <w:p>
      <w:pPr>
        <w:pStyle w:val="BlockText"/>
      </w:pPr>
      <w:r>
        <w:t xml:space="preserve">Guidance: FINRA’s Regulatory Notice 21-29 reminds member firms that outsourcing an activity to a third party doesn’t relieve them of their supervisory obligations.</w:t>
      </w:r>
    </w:p>
    <w:p>
      <w:pPr>
        <w:pStyle w:val="FirstParagraph"/>
      </w:pPr>
      <w:r>
        <w:rPr>
          <w:bCs/>
          <w:b/>
        </w:rPr>
        <w:t xml:space="preserve">10.8</w:t>
      </w:r>
      <w:r>
        <w:t xml:space="preserve"> </w:t>
      </w:r>
      <w:r>
        <w:t xml:space="preserve">The questionnaire, the vendor’s written answers, the documents reviewed and the approval decision are kept with the tool’s register entry.</w:t>
      </w:r>
    </w:p>
    <w:p>
      <w:pPr>
        <w:pStyle w:val="BodyText"/>
      </w:pPr>
      <w:r>
        <w:rPr>
          <w:bCs/>
          <w:b/>
        </w:rPr>
        <w:t xml:space="preserve">10.9</w:t>
      </w:r>
      <w:r>
        <w:t xml:space="preserve"> </w:t>
      </w:r>
      <w:r>
        <w:t xml:space="preserve">Each approved AI vendor is reassessed at least [VENDOR REVIEW FREQUENCY], and sooner when the vendor announces a new model, a new sub-processor or a change to its data terms, or reports an incident. The reassessment covers at least an updated security report, the current sub-processor list and any changes to data terms or AI features.</w:t>
      </w:r>
    </w:p>
    <w:p>
      <w:pPr>
        <w:pStyle w:val="BlockText"/>
      </w:pPr>
      <w:r>
        <w:t xml:space="preserve">Guidance: Sources for this section: SEC: Regulation S-P amendments, final rule, https://www.sec.gov/rules-regulations/2024/06/s7-05-23; SEC: Regulation S-P small entity compliance guide, https://www.sec.gov/files/rules/final/2024/regulation-s-p-small-entity-compliance-guide.pdf; FINRA Regulatory Notice 21-29 (vendor management), https://www.finra.org/sites/default/files/2021-08/Regulatory-Notice-21-29.pdf; AICPA: SOC suite of services, https://www.aicpa-cima.com/topic/audit-assurance/audit-and-assurance-greater-than-soc-2/.</w:t>
      </w:r>
    </w:p>
    <w:bookmarkEnd w:id="30"/>
    <w:bookmarkStart w:id="31" w:name="supervision-and-monitoring"/>
    <w:p>
      <w:pPr>
        <w:pStyle w:val="Heading2"/>
      </w:pPr>
      <w:r>
        <w:t xml:space="preserve">11. Supervision and monitoring</w:t>
      </w:r>
    </w:p>
    <w:p>
      <w:pPr>
        <w:pStyle w:val="FirstParagraph"/>
      </w:pPr>
      <w:r>
        <w:rPr>
          <w:bCs/>
          <w:b/>
        </w:rPr>
        <w:t xml:space="preserve">11.1</w:t>
      </w:r>
      <w:r>
        <w:t xml:space="preserve"> </w:t>
      </w:r>
      <w:r>
        <w:rPr>
          <w:iCs/>
          <w:i/>
        </w:rPr>
        <w:t xml:space="preserve">(RIA only)</w:t>
      </w:r>
      <w:r>
        <w:t xml:space="preserve"> </w:t>
      </w:r>
      <w:r>
        <w:t xml:space="preserve">AI use is part of the Firm’s compliance policies and procedures under Advisers Act Rule 206(4)-7, which requires written policies and procedures reasonably designed to prevent violations, a review at least annually of their adequacy and effectiveness, and a designated chief compliance officer.</w:t>
      </w:r>
    </w:p>
    <w:p>
      <w:pPr>
        <w:pStyle w:val="BodyText"/>
      </w:pPr>
      <w:r>
        <w:rPr>
          <w:bCs/>
          <w:b/>
        </w:rPr>
        <w:t xml:space="preserve">11.2</w:t>
      </w:r>
      <w:r>
        <w:t xml:space="preserve"> </w:t>
      </w:r>
      <w:r>
        <w:rPr>
          <w:iCs/>
          <w:i/>
        </w:rPr>
        <w:t xml:space="preserve">(BD only)</w:t>
      </w:r>
      <w:r>
        <w:t xml:space="preserve"> </w:t>
      </w:r>
      <w:r>
        <w:t xml:space="preserve">The Firm’s supervisory system and written supervisory procedures under FINRA Rule 3110 cover AI use by registered persons, including the review of AI-assisted incoming and outgoing correspondence under the Firm’s correspondence review procedures.</w:t>
      </w:r>
    </w:p>
    <w:p>
      <w:pPr>
        <w:pStyle w:val="BodyText"/>
      </w:pPr>
      <w:r>
        <w:rPr>
          <w:bCs/>
          <w:b/>
        </w:rPr>
        <w:t xml:space="preserve">11.3</w:t>
      </w:r>
      <w:r>
        <w:t xml:space="preserve"> </w:t>
      </w:r>
      <w:r>
        <w:t xml:space="preserve">At least [SPOT-CHECK FREQUENCY], the policy owner and the CCO check compliance with this policy, including by: reconciling the register to actual licenses, accounts and enabled AI features; spot-checking AI-assisted communications and meeting summaries; looking for unapproved AI tools in expense reports, browser extensions and app installs; and reviewing access and activity logs where tools provide them.</w:t>
      </w:r>
    </w:p>
    <w:p>
      <w:pPr>
        <w:pStyle w:val="BodyText"/>
      </w:pPr>
      <w:r>
        <w:rPr>
          <w:bCs/>
          <w:b/>
        </w:rPr>
        <w:t xml:space="preserve">11.4</w:t>
      </w:r>
      <w:r>
        <w:t xml:space="preserve"> </w:t>
      </w:r>
      <w:r>
        <w:t xml:space="preserve">Monitoring results, findings and follow-up actions are documented and included in the Firm’s annual compliance review.</w:t>
      </w:r>
    </w:p>
    <w:p>
      <w:pPr>
        <w:pStyle w:val="BodyText"/>
      </w:pPr>
      <w:r>
        <w:rPr>
          <w:bCs/>
          <w:b/>
        </w:rPr>
        <w:t xml:space="preserve">11.5</w:t>
      </w:r>
      <w:r>
        <w:t xml:space="preserve"> </w:t>
      </w:r>
      <w:r>
        <w:t xml:space="preserve">The policy owner tracks changes vendors make to approved tools (new features, models, sub-processors and terms) and brings material changes to the CCO.</w:t>
      </w:r>
    </w:p>
    <w:p>
      <w:pPr>
        <w:pStyle w:val="BodyText"/>
      </w:pPr>
      <w:r>
        <w:rPr>
          <w:bCs/>
          <w:b/>
        </w:rPr>
        <w:t xml:space="preserve">11.6</w:t>
      </w:r>
      <w:r>
        <w:t xml:space="preserve"> </w:t>
      </w:r>
      <w:r>
        <w:rPr>
          <w:iCs/>
          <w:i/>
        </w:rPr>
        <w:t xml:space="preserve">(Optional)</w:t>
      </w:r>
      <w:r>
        <w:t xml:space="preserve"> </w:t>
      </w:r>
      <w:r>
        <w:t xml:space="preserve">The Firm may use the NIST AI Risk Management Framework and its Generative AI Profile (NIST AI 600-1) as a voluntary checklist of AI risks when reviewing tools and this policy.</w:t>
      </w:r>
    </w:p>
    <w:p>
      <w:pPr>
        <w:pStyle w:val="BlockText"/>
      </w:pPr>
      <w:r>
        <w:t xml:space="preserve">Guidance: Neither NIST document is required for advisory firms; both are voluntary frameworks.</w:t>
      </w:r>
    </w:p>
    <w:p>
      <w:pPr>
        <w:pStyle w:val="BlockText"/>
      </w:pPr>
      <w:r>
        <w:t xml:space="preserve">Guidance: Sources for this section: SEC Rule 206(4)-7, compliance procedures and practices (eCFR), https://www.ecfr.gov/current/title-17/chapter-II/part-275/section-275.206(4)-7; FINRA Rule 3110 (supervision), https://www.finra.org/rules-guidance/rulebooks/finra-rules/3110; FINRA 2026 Annual Regulatory Oversight Report: GenAI, https://www.finra.org/rules-guidance/guidance/reports/2026-finra-annual-regulatory-oversight-report/gen-ai; NIST AI Risk Management Framework, https://www.nist.gov/itl/ai-risk-management-framework; NIST AI 600-1, Generative AI Profile, https://www.nist.gov/publications/artificial-intelligence-risk-management-framework-generative-artificial-intelligence.</w:t>
      </w:r>
    </w:p>
    <w:bookmarkEnd w:id="31"/>
    <w:bookmarkStart w:id="32" w:name="prohibited-uses"/>
    <w:p>
      <w:pPr>
        <w:pStyle w:val="Heading2"/>
      </w:pPr>
      <w:r>
        <w:t xml:space="preserve">12. Prohibited uses</w:t>
      </w:r>
    </w:p>
    <w:p>
      <w:pPr>
        <w:pStyle w:val="FirstParagraph"/>
      </w:pPr>
      <w:r>
        <w:t xml:space="preserve">Covered Persons may not use AI tools, approved or not, to do any of the following.</w:t>
      </w:r>
    </w:p>
    <w:p>
      <w:pPr>
        <w:pStyle w:val="BodyText"/>
      </w:pPr>
      <w:r>
        <w:rPr>
          <w:bCs/>
          <w:b/>
        </w:rPr>
        <w:t xml:space="preserve">12.1</w:t>
      </w:r>
      <w:r>
        <w:t xml:space="preserve"> </w:t>
      </w:r>
      <w:r>
        <w:t xml:space="preserve">Use unapproved tools, plans, features or personal accounts for Firm business.</w:t>
      </w:r>
    </w:p>
    <w:p>
      <w:pPr>
        <w:pStyle w:val="BodyText"/>
      </w:pPr>
      <w:r>
        <w:rPr>
          <w:bCs/>
          <w:b/>
        </w:rPr>
        <w:t xml:space="preserve">12.2</w:t>
      </w:r>
      <w:r>
        <w:t xml:space="preserve"> </w:t>
      </w:r>
      <w:r>
        <w:t xml:space="preserve">Enter sensitive client information, client information or credentials into any tool not approved for that data (section 5).</w:t>
      </w:r>
    </w:p>
    <w:p>
      <w:pPr>
        <w:pStyle w:val="BodyText"/>
      </w:pPr>
      <w:r>
        <w:rPr>
          <w:bCs/>
          <w:b/>
        </w:rPr>
        <w:t xml:space="preserve">12.3</w:t>
      </w:r>
      <w:r>
        <w:t xml:space="preserve"> </w:t>
      </w:r>
      <w:r>
        <w:t xml:space="preserve">Let an AI tool make an investment recommendation, a best-interest or suitability determination or a discretionary decision, or send AI-generated client-specific advice without the review section 6 requires.</w:t>
      </w:r>
    </w:p>
    <w:p>
      <w:pPr>
        <w:pStyle w:val="BodyText"/>
      </w:pPr>
      <w:r>
        <w:rPr>
          <w:bCs/>
          <w:b/>
        </w:rPr>
        <w:t xml:space="preserve">12.4</w:t>
      </w:r>
      <w:r>
        <w:t xml:space="preserve"> </w:t>
      </w:r>
      <w:r>
        <w:t xml:space="preserve">Create or use AI-generated voices, images, video or text that impersonate a client, colleague, regulator or any other real person, or that could be mistaken for a real person’s own words (</w:t>
      </w:r>
      <w:r>
        <w:t xml:space="preserve">“</w:t>
      </w:r>
      <w:r>
        <w:t xml:space="preserve">deepfakes</w:t>
      </w:r>
      <w:r>
        <w:t xml:space="preserve">”</w:t>
      </w:r>
      <w:r>
        <w:t xml:space="preserve">).</w:t>
      </w:r>
    </w:p>
    <w:p>
      <w:pPr>
        <w:pStyle w:val="BodyText"/>
      </w:pPr>
      <w:r>
        <w:rPr>
          <w:bCs/>
          <w:b/>
        </w:rPr>
        <w:t xml:space="preserve">12.5</w:t>
      </w:r>
      <w:r>
        <w:t xml:space="preserve"> </w:t>
      </w:r>
      <w:r>
        <w:t xml:space="preserve">Create fabricated testimonials, reviews, client stories, statistics, sources or performance figures.</w:t>
      </w:r>
    </w:p>
    <w:p>
      <w:pPr>
        <w:pStyle w:val="BodyText"/>
      </w:pPr>
      <w:r>
        <w:rPr>
          <w:bCs/>
          <w:b/>
        </w:rPr>
        <w:t xml:space="preserve">12.6</w:t>
      </w:r>
      <w:r>
        <w:t xml:space="preserve"> </w:t>
      </w:r>
      <w:r>
        <w:t xml:space="preserve">Use AI to bypass, disable or work around the Firm’s security, supervision, archiving or review controls, including by moving Firm information to personal devices, accounts or apps to use an AI tool there.</w:t>
      </w:r>
    </w:p>
    <w:p>
      <w:pPr>
        <w:pStyle w:val="BodyText"/>
      </w:pPr>
      <w:r>
        <w:rPr>
          <w:bCs/>
          <w:b/>
        </w:rPr>
        <w:t xml:space="preserve">12.7</w:t>
      </w:r>
      <w:r>
        <w:t xml:space="preserve"> </w:t>
      </w:r>
      <w:r>
        <w:t xml:space="preserve">Record or transcribe a meeting or call without the notice and consent section 9 requires.</w:t>
      </w:r>
    </w:p>
    <w:p>
      <w:pPr>
        <w:pStyle w:val="BodyText"/>
      </w:pPr>
      <w:r>
        <w:rPr>
          <w:bCs/>
          <w:b/>
        </w:rPr>
        <w:t xml:space="preserve">12.8</w:t>
      </w:r>
      <w:r>
        <w:t xml:space="preserve"> </w:t>
      </w:r>
      <w:r>
        <w:t xml:space="preserve">Communicate with clients about Firm business through AI apps, chatbots or messaging features the Firm hasn’t approved and doesn’t capture.</w:t>
      </w:r>
    </w:p>
    <w:p>
      <w:pPr>
        <w:pStyle w:val="BodyText"/>
      </w:pPr>
      <w:r>
        <w:rPr>
          <w:bCs/>
          <w:b/>
        </w:rPr>
        <w:t xml:space="preserve">12.9</w:t>
      </w:r>
      <w:r>
        <w:t xml:space="preserve"> </w:t>
      </w:r>
      <w:r>
        <w:t xml:space="preserve">Overstate or misdescribe how the Firm uses AI in any communication.</w:t>
      </w:r>
    </w:p>
    <w:p>
      <w:pPr>
        <w:pStyle w:val="BodyText"/>
      </w:pPr>
      <w:r>
        <w:rPr>
          <w:bCs/>
          <w:b/>
        </w:rPr>
        <w:t xml:space="preserve">12.10</w:t>
      </w:r>
      <w:r>
        <w:t xml:space="preserve"> </w:t>
      </w:r>
      <w:r>
        <w:t xml:space="preserve">Use AI for any purpose that would violate law, regulation, Firm policy or the code of ethics, including misuse of material nonpublic information, harassment or discrimination.</w:t>
      </w:r>
    </w:p>
    <w:p>
      <w:pPr>
        <w:pStyle w:val="BodyText"/>
      </w:pPr>
      <w:r>
        <w:rPr>
          <w:bCs/>
          <w:b/>
        </w:rPr>
        <w:t xml:space="preserve">12.11</w:t>
      </w:r>
      <w:r>
        <w:t xml:space="preserve"> </w:t>
      </w:r>
      <w:r>
        <w:rPr>
          <w:iCs/>
          <w:i/>
        </w:rPr>
        <w:t xml:space="preserve">(Optional)</w:t>
      </w:r>
      <w:r>
        <w:t xml:space="preserve"> </w:t>
      </w:r>
      <w:r>
        <w:t xml:space="preserve">Give an AI agent or automation the ability to send client communications, move money, place trades or change client records without the human approval step the register requires for that tool.</w:t>
      </w:r>
    </w:p>
    <w:bookmarkEnd w:id="32"/>
    <w:bookmarkStart w:id="33" w:name="incidents-and-mistakes"/>
    <w:p>
      <w:pPr>
        <w:pStyle w:val="Heading2"/>
      </w:pPr>
      <w:r>
        <w:t xml:space="preserve">13. Incidents and mistakes</w:t>
      </w:r>
    </w:p>
    <w:p>
      <w:pPr>
        <w:pStyle w:val="FirstParagraph"/>
      </w:pPr>
      <w:r>
        <w:rPr>
          <w:bCs/>
          <w:b/>
        </w:rPr>
        <w:t xml:space="preserve">13.1</w:t>
      </w:r>
      <w:r>
        <w:t xml:space="preserve"> </w:t>
      </w:r>
      <w:r>
        <w:t xml:space="preserve">An AI incident includes: client information or confidential firm information entered into an unapproved tool, plan or personal account; an inaccurate or inappropriate AI-assisted communication sent to a client or published; an AI notetaker used without the required notice or consent; a vendor notice of a breach, outage or change affecting Firm data; unauthorized access to a Firm AI account; and suspected use of an unapproved AI tool for Firm business.</w:t>
      </w:r>
    </w:p>
    <w:p>
      <w:pPr>
        <w:pStyle w:val="BodyText"/>
      </w:pPr>
      <w:r>
        <w:rPr>
          <w:bCs/>
          <w:b/>
        </w:rPr>
        <w:t xml:space="preserve">13.2</w:t>
      </w:r>
      <w:r>
        <w:t xml:space="preserve"> </w:t>
      </w:r>
      <w:r>
        <w:t xml:space="preserve">Covered Persons report any suspected AI incident to [CONTACT] within [X HOURS] of discovering it, even if they aren’t sure it is one. They stop the activity but don’t try to investigate or fix the problem alone.</w:t>
      </w:r>
    </w:p>
    <w:p>
      <w:pPr>
        <w:pStyle w:val="BodyText"/>
      </w:pPr>
      <w:r>
        <w:rPr>
          <w:bCs/>
          <w:b/>
        </w:rPr>
        <w:t xml:space="preserve">13.3</w:t>
      </w:r>
      <w:r>
        <w:t xml:space="preserve"> </w:t>
      </w:r>
      <w:r>
        <w:t xml:space="preserve">The CCO decides the response, which may include asking the vendor to delete data, correcting or retracting a communication, notifying affected clients, changing tool settings or access, and additional training.</w:t>
      </w:r>
    </w:p>
    <w:p>
      <w:pPr>
        <w:pStyle w:val="BodyText"/>
      </w:pPr>
      <w:r>
        <w:rPr>
          <w:bCs/>
          <w:b/>
        </w:rPr>
        <w:t xml:space="preserve">13.4</w:t>
      </w:r>
      <w:r>
        <w:t xml:space="preserve"> </w:t>
      </w:r>
      <w:r>
        <w:t xml:space="preserve">Incidents that may involve unauthorized access to or use of client information are handled under the Firm’s incident response program required by amended Regulation S-P, including its requirement to notify affected individuals as soon as practicable, and no later than 30 days, after becoming aware of certain unauthorized access to sensitive customer information.</w:t>
      </w:r>
    </w:p>
    <w:p>
      <w:pPr>
        <w:pStyle w:val="BlockText"/>
      </w:pPr>
      <w:r>
        <w:t xml:space="preserve">Guidance: Link this section to your firm’s actual incident response program so the AI policy doesn’t create a second, conflicting process.</w:t>
      </w:r>
    </w:p>
    <w:p>
      <w:pPr>
        <w:pStyle w:val="FirstParagraph"/>
      </w:pPr>
      <w:r>
        <w:rPr>
          <w:bCs/>
          <w:b/>
        </w:rPr>
        <w:t xml:space="preserve">13.5</w:t>
      </w:r>
      <w:r>
        <w:t xml:space="preserve"> </w:t>
      </w:r>
      <w:r>
        <w:t xml:space="preserve">The CCO keeps a log of AI incidents, including what happened, when it was reported, the response and any follow-up, and reviews the log in the annual compliance review.</w:t>
      </w:r>
    </w:p>
    <w:p>
      <w:pPr>
        <w:pStyle w:val="BodyText"/>
      </w:pPr>
      <w:r>
        <w:rPr>
          <w:bCs/>
          <w:b/>
        </w:rPr>
        <w:t xml:space="preserve">13.6</w:t>
      </w:r>
      <w:r>
        <w:t xml:space="preserve"> </w:t>
      </w:r>
      <w:r>
        <w:t xml:space="preserve">The Firm won’t treat anyone less favorably for reporting a suspected incident or mistake in good faith. Failing to report one may lead to disciplinary action.</w:t>
      </w:r>
    </w:p>
    <w:p>
      <w:pPr>
        <w:pStyle w:val="BlockText"/>
      </w:pPr>
      <w:r>
        <w:t xml:space="preserve">Guidance: Sources for this section: SEC press release 2024-58 (Regulation S-P amendments), https://www.sec.gov/newsroom/press-releases/2024-58; SEC: Regulation S-P amendments, final rule, https://www.sec.gov/rules-regulations/2024/06/s7-05-23; SEC: Regulation S-P small entity compliance guide, https://www.sec.gov/files/rules/final/2024/regulation-s-p-small-entity-compliance-guide.pdf.</w:t>
      </w:r>
    </w:p>
    <w:bookmarkEnd w:id="33"/>
    <w:bookmarkStart w:id="34" w:name="training-and-attestation"/>
    <w:p>
      <w:pPr>
        <w:pStyle w:val="Heading2"/>
      </w:pPr>
      <w:r>
        <w:t xml:space="preserve">14. Training and attestation</w:t>
      </w:r>
    </w:p>
    <w:p>
      <w:pPr>
        <w:pStyle w:val="FirstParagraph"/>
      </w:pPr>
      <w:r>
        <w:rPr>
          <w:bCs/>
          <w:b/>
        </w:rPr>
        <w:t xml:space="preserve">14.1</w:t>
      </w:r>
      <w:r>
        <w:t xml:space="preserve"> </w:t>
      </w:r>
      <w:r>
        <w:t xml:space="preserve">Every Covered Person completes AI training before using any AI tool for Firm business, within [TRAINING DEADLINE] of joining the Firm, and at least annually after that.</w:t>
      </w:r>
    </w:p>
    <w:p>
      <w:pPr>
        <w:pStyle w:val="BodyText"/>
      </w:pPr>
      <w:r>
        <w:rPr>
          <w:bCs/>
          <w:b/>
        </w:rPr>
        <w:t xml:space="preserve">14.2</w:t>
      </w:r>
      <w:r>
        <w:t xml:space="preserve"> </w:t>
      </w:r>
      <w:r>
        <w:t xml:space="preserve">Training covers at least: the approved tools and plans and where to find the register; the data rules and how to de-identify information; human review expectations; recordkeeping and off-channel rules; marketing and communications rules; notetaker notice and consent; and how to report incidents.</w:t>
      </w:r>
    </w:p>
    <w:p>
      <w:pPr>
        <w:pStyle w:val="BodyText"/>
      </w:pPr>
      <w:r>
        <w:rPr>
          <w:bCs/>
          <w:b/>
        </w:rPr>
        <w:t xml:space="preserve">14.3</w:t>
      </w:r>
      <w:r>
        <w:t xml:space="preserve"> </w:t>
      </w:r>
      <w:r>
        <w:t xml:space="preserve">When this policy or the register changes materially, Covered Persons receive a summary of the changes, and re-attest when the CCO requires it.</w:t>
      </w:r>
    </w:p>
    <w:p>
      <w:pPr>
        <w:pStyle w:val="BodyText"/>
      </w:pPr>
      <w:r>
        <w:rPr>
          <w:bCs/>
          <w:b/>
        </w:rPr>
        <w:t xml:space="preserve">14.4</w:t>
      </w:r>
      <w:r>
        <w:t xml:space="preserve"> </w:t>
      </w:r>
      <w:r>
        <w:t xml:space="preserve">Covered Persons sign the acknowledgment and attestation in Appendix D at hire and annually. [POLICY OWNER] keeps training and attestation records.</w:t>
      </w:r>
    </w:p>
    <w:p>
      <w:pPr>
        <w:pStyle w:val="BodyText"/>
      </w:pPr>
      <w:r>
        <w:rPr>
          <w:bCs/>
          <w:b/>
        </w:rPr>
        <w:t xml:space="preserve">14.5</w:t>
      </w:r>
      <w:r>
        <w:t xml:space="preserve"> </w:t>
      </w:r>
      <w:r>
        <w:t xml:space="preserve">The quick reference card in Appendix E is handed out with training and kept where Covered Persons can find it.</w:t>
      </w:r>
    </w:p>
    <w:bookmarkEnd w:id="34"/>
    <w:bookmarkStart w:id="35" w:name="exceptions-enforcement-and-policy-review"/>
    <w:p>
      <w:pPr>
        <w:pStyle w:val="Heading2"/>
      </w:pPr>
      <w:r>
        <w:t xml:space="preserve">15. Exceptions, enforcement and policy review</w:t>
      </w:r>
    </w:p>
    <w:p>
      <w:pPr>
        <w:pStyle w:val="FirstParagraph"/>
      </w:pPr>
      <w:r>
        <w:rPr>
          <w:bCs/>
          <w:b/>
        </w:rPr>
        <w:t xml:space="preserve">15.1</w:t>
      </w:r>
      <w:r>
        <w:t xml:space="preserve"> </w:t>
      </w:r>
      <w:r>
        <w:t xml:space="preserve">Exceptions to this policy require a written request and written approval from the CCO. Each exception is limited in scope and time, includes any conditions, and is recorded in the register.</w:t>
      </w:r>
    </w:p>
    <w:p>
      <w:pPr>
        <w:pStyle w:val="BodyText"/>
      </w:pPr>
      <w:r>
        <w:rPr>
          <w:bCs/>
          <w:b/>
        </w:rPr>
        <w:t xml:space="preserve">15.2</w:t>
      </w:r>
      <w:r>
        <w:t xml:space="preserve"> </w:t>
      </w:r>
      <w:r>
        <w:t xml:space="preserve">Violations of this policy may lead to retraining, loss of access to AI tools, and disciplinary action up to and including termination, consistent with the Firm’s code of ethics and employment policies.</w:t>
      </w:r>
    </w:p>
    <w:p>
      <w:pPr>
        <w:pStyle w:val="BodyText"/>
      </w:pPr>
      <w:r>
        <w:rPr>
          <w:bCs/>
          <w:b/>
        </w:rPr>
        <w:t xml:space="preserve">15.3</w:t>
      </w:r>
      <w:r>
        <w:t xml:space="preserve"> </w:t>
      </w:r>
      <w:r>
        <w:t xml:space="preserve">The policy owner reviews this policy at least [REVIEW FREQUENCY], and not less than annually, and sooner when the Firm adds a major AI tool, a vendor changes material terms, or a relevant rule or regulatory guidance changes.</w:t>
      </w:r>
    </w:p>
    <w:p>
      <w:pPr>
        <w:pStyle w:val="BodyText"/>
      </w:pPr>
      <w:r>
        <w:rPr>
          <w:bCs/>
          <w:b/>
        </w:rPr>
        <w:t xml:space="preserve">15.4</w:t>
      </w:r>
      <w:r>
        <w:t xml:space="preserve"> </w:t>
      </w:r>
      <w:r>
        <w:rPr>
          <w:iCs/>
          <w:i/>
        </w:rPr>
        <w:t xml:space="preserve">(RIA only)</w:t>
      </w:r>
      <w:r>
        <w:t xml:space="preserve"> </w:t>
      </w:r>
      <w:r>
        <w:t xml:space="preserve">For the advisory business, the review of this policy is part of the annual review of compliance policies and procedures required by Rule 206(4)-7.</w:t>
      </w:r>
    </w:p>
    <w:p>
      <w:pPr>
        <w:pStyle w:val="BodyText"/>
      </w:pPr>
      <w:r>
        <w:rPr>
          <w:bCs/>
          <w:b/>
        </w:rPr>
        <w:t xml:space="preserve">15.5</w:t>
      </w:r>
      <w:r>
        <w:t xml:space="preserve"> </w:t>
      </w:r>
      <w:r>
        <w:t xml:space="preserve">The CCO approves changes to this policy. Each approved version receives a new version number and is recorded in the version history below.</w:t>
      </w:r>
    </w:p>
    <w:p>
      <w:pPr>
        <w:pStyle w:val="BodyText"/>
      </w:pPr>
      <w:r>
        <w:rPr>
          <w:bCs/>
          <w:b/>
        </w:rPr>
        <w:t xml:space="preserve">15.6</w:t>
      </w:r>
      <w:r>
        <w:t xml:space="preserve"> </w:t>
      </w:r>
      <w:r>
        <w:t xml:space="preserve">Prior versions of this policy, and the training and attestation records for each version, are kept as records of the Firm’s compliance program.</w:t>
      </w:r>
    </w:p>
    <w:p>
      <w:pPr>
        <w:pStyle w:val="TableCaption"/>
      </w:pPr>
      <w:r>
        <w:t xml:space="preserve">Version history</w:t>
      </w:r>
    </w:p>
    <w:tbl>
      <w:tblPr>
        <w:tblStyle w:val="Table"/>
        <w:tblW w:type="auto" w:w="0"/>
        <w:tblLook w:firstRow="1" w:lastRow="0" w:firstColumn="0" w:lastColumn="0" w:noHBand="0" w:noVBand="0" w:val="0020"/>
        <w:jc w:val="start"/>
        <w:tblCaption w:val="Version history"/>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Effective date</w:t>
            </w:r>
          </w:p>
        </w:tc>
        <w:tc>
          <w:tcPr/>
          <w:p>
            <w:pPr>
              <w:pStyle w:val="Compact"/>
              <w:jc w:val="left"/>
            </w:pPr>
            <w:r>
              <w:t xml:space="preserve">Summary of changes</w:t>
            </w:r>
          </w:p>
        </w:tc>
        <w:tc>
          <w:tcPr/>
          <w:p>
            <w:pPr>
              <w:pStyle w:val="Compact"/>
              <w:jc w:val="left"/>
            </w:pPr>
            <w:r>
              <w:t xml:space="preserve">Approved by</w:t>
            </w:r>
          </w:p>
        </w:tc>
      </w:tr>
      <w:tr>
        <w:tc>
          <w:tcPr/>
          <w:p>
            <w:pPr>
              <w:pStyle w:val="Compact"/>
              <w:jc w:val="left"/>
            </w:pPr>
            <w:r>
              <w:t xml:space="preserve">1.0</w:t>
            </w:r>
          </w:p>
        </w:tc>
        <w:tc>
          <w:tcPr/>
          <w:p>
            <w:pPr>
              <w:pStyle w:val="Compact"/>
              <w:jc w:val="left"/>
            </w:pPr>
            <w:r>
              <w:t xml:space="preserve">[EFFECTIVE DATE]</w:t>
            </w:r>
          </w:p>
        </w:tc>
        <w:tc>
          <w:tcPr/>
          <w:p>
            <w:pPr>
              <w:pStyle w:val="Compact"/>
              <w:jc w:val="left"/>
            </w:pPr>
            <w:r>
              <w:t xml:space="preserve">Initial adoption</w:t>
            </w:r>
          </w:p>
        </w:tc>
        <w:tc>
          <w:tcPr/>
          <w:p>
            <w:pPr>
              <w:pStyle w:val="Compact"/>
              <w:jc w:val="left"/>
            </w:pPr>
            <w:r>
              <w:t xml:space="preserve">[CCO NAME]</w:t>
            </w:r>
          </w:p>
        </w:tc>
      </w:tr>
      <w:tr>
        <w:tc>
          <w:tcPr/>
          <w:p>
            <w:pPr>
              <w:pStyle w:val="Compact"/>
              <w:jc w:val="left"/>
            </w:pPr>
            <w:r>
              <w:t xml:space="preserve">[VERSION]</w:t>
            </w:r>
          </w:p>
        </w:tc>
        <w:tc>
          <w:tcPr/>
          <w:p>
            <w:pPr>
              <w:pStyle w:val="Compact"/>
              <w:jc w:val="left"/>
            </w:pPr>
            <w:r>
              <w:t xml:space="preserve">[DATE]</w:t>
            </w:r>
          </w:p>
        </w:tc>
        <w:tc>
          <w:tcPr/>
          <w:p>
            <w:pPr>
              <w:pStyle w:val="Compact"/>
            </w:pPr>
          </w:p>
        </w:tc>
        <w:tc>
          <w:tcPr/>
          <w:p>
            <w:pPr>
              <w:pStyle w:val="Compact"/>
            </w:pPr>
          </w:p>
        </w:tc>
      </w:tr>
      <w:tr>
        <w:tc>
          <w:tcPr/>
          <w:p>
            <w:pPr>
              <w:pStyle w:val="Compact"/>
              <w:jc w:val="left"/>
            </w:pPr>
            <w:r>
              <w:t xml:space="preserve">[VERSION]</w:t>
            </w:r>
          </w:p>
        </w:tc>
        <w:tc>
          <w:tcPr/>
          <w:p>
            <w:pPr>
              <w:pStyle w:val="Compact"/>
              <w:jc w:val="left"/>
            </w:pPr>
            <w:r>
              <w:t xml:space="preserve">[DATE]</w:t>
            </w:r>
          </w:p>
        </w:tc>
        <w:tc>
          <w:tcPr/>
          <w:p>
            <w:pPr>
              <w:pStyle w:val="Compact"/>
            </w:pPr>
          </w:p>
        </w:tc>
        <w:tc>
          <w:tcPr/>
          <w:p>
            <w:pPr>
              <w:pStyle w:val="Compact"/>
            </w:pPr>
          </w:p>
        </w:tc>
      </w:tr>
    </w:tbl>
    <w:p>
      <w:pPr>
        <w:pStyle w:val="BlockText"/>
      </w:pPr>
      <w:r>
        <w:t xml:space="preserve">Guidance: Sources for this section: SEC Rule 206(4)-7, compliance procedures and practices (eCFR), https://www.ecfr.gov/current/title-17/chapter-II/part-275/section-275.206(4)-7.</w:t>
      </w:r>
    </w:p>
    <w:bookmarkEnd w:id="35"/>
    <w:bookmarkStart w:id="36" w:name="appendix-a.-ai-tools-register"/>
    <w:p>
      <w:pPr>
        <w:pStyle w:val="Heading2"/>
      </w:pPr>
      <w:r>
        <w:t xml:space="preserve">Appendix A. AI tools register</w:t>
      </w:r>
    </w:p>
    <w:p>
      <w:pPr>
        <w:pStyle w:val="FirstParagraph"/>
      </w:pPr>
      <w:r>
        <w:t xml:space="preserve">The register is the list Covered Persons check before using any AI tool. Keep it at [APPROVED TOOLS LIST LOCATION] and update it whenever a tool, plan, use or setting changes.</w:t>
      </w:r>
    </w:p>
    <w:p>
      <w:pPr>
        <w:pStyle w:val="TableCaption"/>
      </w:pPr>
      <w:r>
        <w:t xml:space="preserve">AI tools register</w:t>
      </w:r>
    </w:p>
    <w:tbl>
      <w:tblPr>
        <w:tblStyle w:val="Table"/>
        <w:tblW w:type="pct" w:w="5000"/>
        <w:tblLook w:firstRow="1" w:lastRow="0" w:firstColumn="0" w:lastColumn="0" w:noHBand="0" w:noVBand="0" w:val="0020"/>
        <w:jc w:val="start"/>
        <w:tblCaption w:val="AI tools register"/>
      </w:tblPr>
      <w:tblGrid>
        <w:gridCol w:w="1131"/>
        <w:gridCol w:w="1131"/>
        <w:gridCol w:w="1131"/>
        <w:gridCol w:w="1131"/>
        <w:gridCol w:w="1131"/>
        <w:gridCol w:w="1131"/>
        <w:gridCol w:w="1131"/>
      </w:tblGrid>
      <w:tr>
        <w:trPr>
          <w:tblHeader w:val="true"/>
        </w:trPr>
        <w:tc>
          <w:tcPr/>
          <w:p>
            <w:pPr>
              <w:pStyle w:val="Compact"/>
              <w:jc w:val="left"/>
            </w:pPr>
            <w:r>
              <w:t xml:space="preserve">Tool</w:t>
            </w:r>
          </w:p>
        </w:tc>
        <w:tc>
          <w:tcPr/>
          <w:p>
            <w:pPr>
              <w:pStyle w:val="Compact"/>
              <w:jc w:val="left"/>
            </w:pPr>
            <w:r>
              <w:t xml:space="preserve">Approved plan/tier</w:t>
            </w:r>
          </w:p>
        </w:tc>
        <w:tc>
          <w:tcPr/>
          <w:p>
            <w:pPr>
              <w:pStyle w:val="Compact"/>
              <w:jc w:val="left"/>
            </w:pPr>
            <w:r>
              <w:t xml:space="preserve">Approved uses</w:t>
            </w:r>
          </w:p>
        </w:tc>
        <w:tc>
          <w:tcPr/>
          <w:p>
            <w:pPr>
              <w:pStyle w:val="Compact"/>
              <w:jc w:val="left"/>
            </w:pPr>
            <w:r>
              <w:t xml:space="preserve">Data allowed</w:t>
            </w:r>
          </w:p>
        </w:tc>
        <w:tc>
          <w:tcPr/>
          <w:p>
            <w:pPr>
              <w:pStyle w:val="Compact"/>
              <w:jc w:val="left"/>
            </w:pPr>
            <w:r>
              <w:t xml:space="preserve">Owner</w:t>
            </w:r>
          </w:p>
        </w:tc>
        <w:tc>
          <w:tcPr/>
          <w:p>
            <w:pPr>
              <w:pStyle w:val="Compact"/>
              <w:jc w:val="left"/>
            </w:pPr>
            <w:r>
              <w:t xml:space="preserve">Approved on</w:t>
            </w:r>
          </w:p>
        </w:tc>
        <w:tc>
          <w:tcPr/>
          <w:p>
            <w:pPr>
              <w:pStyle w:val="Compact"/>
              <w:jc w:val="left"/>
            </w:pPr>
            <w:r>
              <w:t xml:space="preserve">Review by</w:t>
            </w:r>
          </w:p>
        </w:tc>
      </w:tr>
      <w:tr>
        <w:tc>
          <w:tcPr/>
          <w:p>
            <w:pPr>
              <w:pStyle w:val="Compact"/>
              <w:jc w:val="left"/>
            </w:pPr>
            <w:r>
              <w:t xml:space="preserve">[EXAMPLE] General AI assistant</w:t>
            </w:r>
          </w:p>
        </w:tc>
        <w:tc>
          <w:tcPr/>
          <w:p>
            <w:pPr>
              <w:pStyle w:val="Compact"/>
              <w:jc w:val="left"/>
            </w:pPr>
            <w:r>
              <w:t xml:space="preserve">[EXAMPLE] Enterprise plan, Firm-managed accounts with single sign-on</w:t>
            </w:r>
          </w:p>
        </w:tc>
        <w:tc>
          <w:tcPr/>
          <w:p>
            <w:pPr>
              <w:pStyle w:val="Compact"/>
              <w:jc w:val="left"/>
            </w:pPr>
            <w:r>
              <w:t xml:space="preserve">[EXAMPLE] Drafting, editing, summarizing public documents</w:t>
            </w:r>
          </w:p>
        </w:tc>
        <w:tc>
          <w:tcPr/>
          <w:p>
            <w:pPr>
              <w:pStyle w:val="Compact"/>
              <w:jc w:val="left"/>
            </w:pPr>
            <w:r>
              <w:t xml:space="preserve">[EXAMPLE] Public, Internal</w:t>
            </w:r>
          </w:p>
        </w:tc>
        <w:tc>
          <w:tcPr/>
          <w:p>
            <w:pPr>
              <w:pStyle w:val="Compact"/>
              <w:jc w:val="left"/>
            </w:pPr>
            <w:r>
              <w:t xml:space="preserve">[POLICY OWNER]</w:t>
            </w:r>
          </w:p>
        </w:tc>
        <w:tc>
          <w:tcPr/>
          <w:p>
            <w:pPr>
              <w:pStyle w:val="Compact"/>
              <w:jc w:val="left"/>
            </w:pPr>
            <w:r>
              <w:t xml:space="preserve">[DATE]</w:t>
            </w:r>
          </w:p>
        </w:tc>
        <w:tc>
          <w:tcPr/>
          <w:p>
            <w:pPr>
              <w:pStyle w:val="Compact"/>
              <w:jc w:val="left"/>
            </w:pPr>
            <w:r>
              <w:t xml:space="preserve">[DATE]</w:t>
            </w:r>
          </w:p>
        </w:tc>
      </w:tr>
      <w:tr>
        <w:tc>
          <w:tcPr/>
          <w:p>
            <w:pPr>
              <w:pStyle w:val="Compact"/>
              <w:jc w:val="left"/>
            </w:pPr>
            <w:r>
              <w:t xml:space="preserve">[EXAMPLE] AI meeting notetaker</w:t>
            </w:r>
          </w:p>
        </w:tc>
        <w:tc>
          <w:tcPr/>
          <w:p>
            <w:pPr>
              <w:pStyle w:val="Compact"/>
              <w:jc w:val="left"/>
            </w:pPr>
            <w:r>
              <w:t xml:space="preserve">[EXAMPLE] Business plan, recordings off</w:t>
            </w:r>
          </w:p>
        </w:tc>
        <w:tc>
          <w:tcPr/>
          <w:p>
            <w:pPr>
              <w:pStyle w:val="Compact"/>
              <w:jc w:val="left"/>
            </w:pPr>
            <w:r>
              <w:t xml:space="preserve">[EXAMPLE] Client meeting summaries after consent (section 9)</w:t>
            </w:r>
          </w:p>
        </w:tc>
        <w:tc>
          <w:tcPr/>
          <w:p>
            <w:pPr>
              <w:pStyle w:val="Compact"/>
              <w:jc w:val="left"/>
            </w:pPr>
            <w:r>
              <w:t xml:space="preserve">[EXAMPLE] Public, Internal, Client information</w:t>
            </w:r>
          </w:p>
        </w:tc>
        <w:tc>
          <w:tcPr/>
          <w:p>
            <w:pPr>
              <w:pStyle w:val="Compact"/>
              <w:jc w:val="left"/>
            </w:pPr>
            <w:r>
              <w:t xml:space="preserve">[POLICY OWNER]</w:t>
            </w:r>
          </w:p>
        </w:tc>
        <w:tc>
          <w:tcPr/>
          <w:p>
            <w:pPr>
              <w:pStyle w:val="Compact"/>
              <w:jc w:val="left"/>
            </w:pPr>
            <w:r>
              <w:t xml:space="preserve">[DATE]</w:t>
            </w:r>
          </w:p>
        </w:tc>
        <w:tc>
          <w:tcPr/>
          <w:p>
            <w:pPr>
              <w:pStyle w:val="Compact"/>
              <w:jc w:val="left"/>
            </w:pPr>
            <w:r>
              <w:t xml:space="preserve">[DATE]</w:t>
            </w:r>
          </w:p>
        </w:tc>
      </w:tr>
      <w:tr>
        <w:tc>
          <w:tcPr/>
          <w:p>
            <w:pPr>
              <w:pStyle w:val="Compact"/>
              <w:jc w:val="left"/>
            </w:pPr>
            <w:r>
              <w:t xml:space="preserve">[EXAMPLE] CRM AI feature</w:t>
            </w:r>
          </w:p>
        </w:tc>
        <w:tc>
          <w:tcPr/>
          <w:p>
            <w:pPr>
              <w:pStyle w:val="Compact"/>
              <w:jc w:val="left"/>
            </w:pPr>
            <w:r>
              <w:t xml:space="preserve">[EXAMPLE] Included in current CRM license</w:t>
            </w:r>
          </w:p>
        </w:tc>
        <w:tc>
          <w:tcPr/>
          <w:p>
            <w:pPr>
              <w:pStyle w:val="Compact"/>
              <w:jc w:val="left"/>
            </w:pPr>
            <w:r>
              <w:t xml:space="preserve">[EXAMPLE] Drafting follow-up tasks from notes</w:t>
            </w:r>
          </w:p>
        </w:tc>
        <w:tc>
          <w:tcPr/>
          <w:p>
            <w:pPr>
              <w:pStyle w:val="Compact"/>
              <w:jc w:val="left"/>
            </w:pPr>
            <w:r>
              <w:t xml:space="preserve">[EXAMPLE] Client information (no sensitive client information)</w:t>
            </w:r>
          </w:p>
        </w:tc>
        <w:tc>
          <w:tcPr/>
          <w:p>
            <w:pPr>
              <w:pStyle w:val="Compact"/>
              <w:jc w:val="left"/>
            </w:pPr>
            <w:r>
              <w:t xml:space="preserve">[POLICY OWNER]</w:t>
            </w:r>
          </w:p>
        </w:tc>
        <w:tc>
          <w:tcPr/>
          <w:p>
            <w:pPr>
              <w:pStyle w:val="Compact"/>
              <w:jc w:val="left"/>
            </w:pPr>
            <w:r>
              <w:t xml:space="preserve">[DATE]</w:t>
            </w:r>
          </w:p>
        </w:tc>
        <w:tc>
          <w:tcPr/>
          <w:p>
            <w:pPr>
              <w:pStyle w:val="Compact"/>
              <w:jc w:val="left"/>
            </w:pPr>
            <w:r>
              <w:t xml:space="preserve">[DATE]</w:t>
            </w:r>
          </w:p>
        </w:tc>
      </w:tr>
    </w:tbl>
    <w:p>
      <w:pPr>
        <w:pStyle w:val="BodyText"/>
      </w:pPr>
      <w:r>
        <w:rPr>
          <w:bCs/>
          <w:b/>
        </w:rPr>
        <w:t xml:space="preserve">A.1</w:t>
      </w:r>
      <w:r>
        <w:t xml:space="preserve"> </w:t>
      </w:r>
      <w:r>
        <w:t xml:space="preserve">For each approved tool, the register records the tool and vendor, the approved plan, approved uses, the data categories allowed (section 5), the owner, the approval date and the next review date.</w:t>
      </w:r>
    </w:p>
    <w:p>
      <w:pPr>
        <w:pStyle w:val="BodyText"/>
      </w:pPr>
      <w:r>
        <w:rPr>
          <w:bCs/>
          <w:b/>
        </w:rPr>
        <w:t xml:space="preserve">A.2</w:t>
      </w:r>
      <w:r>
        <w:t xml:space="preserve"> </w:t>
      </w:r>
      <w:r>
        <w:t xml:space="preserve">For each approved tool, the register also records: data, training and retention settings configured; integrations approved; whether prompt or output logs are kept; the vendor review date and where the review file is stored; and any conditions the CCO set.</w:t>
      </w:r>
    </w:p>
    <w:p>
      <w:pPr>
        <w:pStyle w:val="BodyText"/>
      </w:pPr>
      <w:r>
        <w:rPr>
          <w:bCs/>
          <w:b/>
        </w:rPr>
        <w:t xml:space="preserve">A.3</w:t>
      </w:r>
      <w:r>
        <w:t xml:space="preserve"> </w:t>
      </w:r>
      <w:r>
        <w:t xml:space="preserve">Rows marked [EXAMPLE] are illustrations only. They don’t name or endorse any product. Replace them with your firm’s approved tools or delete them.</w:t>
      </w:r>
    </w:p>
    <w:bookmarkEnd w:id="36"/>
    <w:bookmarkStart w:id="37" w:name="X1a6b86ffc288749a5e06142098a60104d286fa4"/>
    <w:p>
      <w:pPr>
        <w:pStyle w:val="Heading2"/>
      </w:pPr>
      <w:r>
        <w:t xml:space="preserve">Appendix B. New AI tool or use-case request form</w:t>
      </w:r>
    </w:p>
    <w:p>
      <w:pPr>
        <w:pStyle w:val="FirstParagraph"/>
      </w:pPr>
      <w:r>
        <w:t xml:space="preserve">Complete this form before trying or buying any AI tool, plan or AI feature for Firm business, and send it to [POLICY OWNER].</w:t>
      </w:r>
    </w:p>
    <w:p>
      <w:pPr>
        <w:pStyle w:val="BodyText"/>
      </w:pPr>
      <w:r>
        <w:rPr>
          <w:bCs/>
          <w:b/>
        </w:rPr>
        <w:t xml:space="preserve">B.1</w:t>
      </w:r>
      <w:r>
        <w:t xml:space="preserve"> </w:t>
      </w:r>
      <w:r>
        <w:t xml:space="preserve">Requested by: ____________________ Role: ____________________ Date: ____________</w:t>
      </w:r>
    </w:p>
    <w:p>
      <w:pPr>
        <w:pStyle w:val="BodyText"/>
      </w:pPr>
      <w:r>
        <w:rPr>
          <w:bCs/>
          <w:b/>
        </w:rPr>
        <w:t xml:space="preserve">B.2</w:t>
      </w:r>
      <w:r>
        <w:t xml:space="preserve"> </w:t>
      </w:r>
      <w:r>
        <w:t xml:space="preserve">Tool and vendor: ____________________ Plan or edition requested: ____________________ Estimated cost: ____________</w:t>
      </w:r>
    </w:p>
    <w:p>
      <w:pPr>
        <w:pStyle w:val="BodyText"/>
      </w:pPr>
      <w:r>
        <w:rPr>
          <w:bCs/>
          <w:b/>
        </w:rPr>
        <w:t xml:space="preserve">B.3</w:t>
      </w:r>
      <w:r>
        <w:t xml:space="preserve"> </w:t>
      </w:r>
      <w:r>
        <w:t xml:space="preserve">What will the tool be used for, by whom and how often? ________________________________________</w:t>
      </w:r>
    </w:p>
    <w:p>
      <w:pPr>
        <w:pStyle w:val="BodyText"/>
      </w:pPr>
      <w:r>
        <w:rPr>
          <w:bCs/>
          <w:b/>
        </w:rPr>
        <w:t xml:space="preserve">B.4</w:t>
      </w:r>
      <w:r>
        <w:t xml:space="preserve"> </w:t>
      </w:r>
      <w:r>
        <w:t xml:space="preserve">Which information categories will it receive (section 5)? [ ] Public [ ] Internal [ ] Confidential firm information [ ] Client information [ ] Sensitive client information</w:t>
      </w:r>
    </w:p>
    <w:p>
      <w:pPr>
        <w:pStyle w:val="BodyText"/>
      </w:pPr>
      <w:r>
        <w:rPr>
          <w:bCs/>
          <w:b/>
        </w:rPr>
        <w:t xml:space="preserve">B.5</w:t>
      </w:r>
      <w:r>
        <w:t xml:space="preserve"> </w:t>
      </w:r>
      <w:r>
        <w:t xml:space="preserve">Will it communicate with clients or prospects, record or transcribe meetings, or produce client-facing content? [ ] No [ ] Yes (explain): ____________________</w:t>
      </w:r>
    </w:p>
    <w:p>
      <w:pPr>
        <w:pStyle w:val="BodyText"/>
      </w:pPr>
      <w:r>
        <w:rPr>
          <w:bCs/>
          <w:b/>
        </w:rPr>
        <w:t xml:space="preserve">B.6</w:t>
      </w:r>
      <w:r>
        <w:t xml:space="preserve"> </w:t>
      </w:r>
      <w:r>
        <w:t xml:space="preserve">Which Firm systems will it connect to (CRM, email, calendar, archive, planning or portfolio software), and what access does it request? ____________________</w:t>
      </w:r>
    </w:p>
    <w:p>
      <w:pPr>
        <w:pStyle w:val="BodyText"/>
      </w:pPr>
      <w:r>
        <w:rPr>
          <w:bCs/>
          <w:b/>
        </w:rPr>
        <w:t xml:space="preserve">B.7</w:t>
      </w:r>
      <w:r>
        <w:t xml:space="preserve"> </w:t>
      </w:r>
      <w:r>
        <w:t xml:space="preserve">What outputs will it produce, and which may be records under section 8? ____________________</w:t>
      </w:r>
    </w:p>
    <w:p>
      <w:pPr>
        <w:pStyle w:val="BodyText"/>
      </w:pPr>
      <w:r>
        <w:rPr>
          <w:bCs/>
          <w:b/>
        </w:rPr>
        <w:t xml:space="preserve">B.8</w:t>
      </w:r>
      <w:r>
        <w:t xml:space="preserve"> </w:t>
      </w:r>
      <w:r>
        <w:t xml:space="preserve">Does an approved tool already do this? [ ] No [ ] Yes (why is a new tool needed?): ____________________</w:t>
      </w:r>
    </w:p>
    <w:p>
      <w:pPr>
        <w:pStyle w:val="BodyText"/>
      </w:pPr>
      <w:r>
        <w:rPr>
          <w:bCs/>
          <w:b/>
        </w:rPr>
        <w:t xml:space="preserve">B.9</w:t>
      </w:r>
      <w:r>
        <w:t xml:space="preserve"> </w:t>
      </w:r>
      <w:r>
        <w:t xml:space="preserve">For the policy owner: vendor review completed on ____________ (file location: ____________________). Risk level: [ ] Lower (public information only) [ ] Higher (client information or client contact)</w:t>
      </w:r>
    </w:p>
    <w:p>
      <w:pPr>
        <w:pStyle w:val="BodyText"/>
      </w:pPr>
      <w:r>
        <w:rPr>
          <w:bCs/>
          <w:b/>
        </w:rPr>
        <w:t xml:space="preserve">B.10</w:t>
      </w:r>
      <w:r>
        <w:t xml:space="preserve"> </w:t>
      </w:r>
      <w:r>
        <w:t xml:space="preserve">Decision: [ ] Approved [ ] Approved with conditions [ ] Denied. Conditions (plan, uses, data, settings, users): ____________________</w:t>
      </w:r>
    </w:p>
    <w:p>
      <w:pPr>
        <w:pStyle w:val="BodyText"/>
      </w:pPr>
      <w:r>
        <w:rPr>
          <w:bCs/>
          <w:b/>
        </w:rPr>
        <w:t xml:space="preserve">B.11</w:t>
      </w:r>
      <w:r>
        <w:t xml:space="preserve"> </w:t>
      </w:r>
      <w:r>
        <w:t xml:space="preserve">CCO signature: ____________________ Name: [CCO NAME] Date: ____________</w:t>
      </w:r>
    </w:p>
    <w:bookmarkEnd w:id="37"/>
    <w:bookmarkStart w:id="38" w:name="Xc5875aee3977d26fb3dfa939c18054caddad8db"/>
    <w:p>
      <w:pPr>
        <w:pStyle w:val="Heading2"/>
      </w:pPr>
      <w:r>
        <w:t xml:space="preserve">Appendix C. Vendor due-diligence checklist</w:t>
      </w:r>
    </w:p>
    <w:p>
      <w:pPr>
        <w:pStyle w:val="FirstParagraph"/>
      </w:pPr>
      <w:r>
        <w:t xml:space="preserve">Send these questions to the vendor and ask for written answers. File the answers with the request form and the approval decision. Our AI vendor due diligence guide (bestaiforadvisors.com/guides/ai-vendor-due-diligence-for-advisors/) explains each question and has a longer list.</w:t>
      </w:r>
    </w:p>
    <w:p>
      <w:pPr>
        <w:pStyle w:val="TableCaption"/>
      </w:pPr>
      <w:r>
        <w:t xml:space="preserve">Vendor due-diligence checklist</w:t>
      </w:r>
    </w:p>
    <w:tbl>
      <w:tblPr>
        <w:tblStyle w:val="Table"/>
        <w:tblW w:type="pct" w:w="5000"/>
        <w:tblLook w:firstRow="1" w:lastRow="0" w:firstColumn="0" w:lastColumn="0" w:noHBand="0" w:noVBand="0" w:val="0020"/>
        <w:jc w:val="start"/>
        <w:tblCaption w:val="Vendor due-diligence checklist"/>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Question for the vendor</w:t>
            </w:r>
          </w:p>
        </w:tc>
        <w:tc>
          <w:tcPr/>
          <w:p>
            <w:pPr>
              <w:pStyle w:val="Compact"/>
              <w:jc w:val="left"/>
            </w:pPr>
            <w:r>
              <w:t xml:space="preserve">Answer and evidence</w:t>
            </w:r>
          </w:p>
        </w:tc>
      </w:tr>
      <w:tr>
        <w:tc>
          <w:tcPr/>
          <w:p>
            <w:pPr>
              <w:pStyle w:val="Compact"/>
              <w:jc w:val="left"/>
            </w:pPr>
            <w:r>
              <w:t xml:space="preserve">Data use</w:t>
            </w:r>
          </w:p>
        </w:tc>
        <w:tc>
          <w:tcPr/>
          <w:p>
            <w:pPr>
              <w:pStyle w:val="Compact"/>
              <w:jc w:val="left"/>
            </w:pPr>
            <w:r>
              <w:t xml:space="preserve">Is our data (prompts, files, recordings, transcripts, outputs) used to train or improve any model, yours or a third party’s? Is that the default for our plan, and is it in the contract?</w:t>
            </w:r>
          </w:p>
        </w:tc>
        <w:tc>
          <w:tcPr/>
          <w:p>
            <w:pPr>
              <w:pStyle w:val="Compact"/>
            </w:pPr>
          </w:p>
        </w:tc>
      </w:tr>
      <w:tr>
        <w:tc>
          <w:tcPr/>
          <w:p>
            <w:pPr>
              <w:pStyle w:val="Compact"/>
              <w:jc w:val="left"/>
            </w:pPr>
            <w:r>
              <w:t xml:space="preserve">Human access</w:t>
            </w:r>
          </w:p>
        </w:tc>
        <w:tc>
          <w:tcPr/>
          <w:p>
            <w:pPr>
              <w:pStyle w:val="Compact"/>
              <w:jc w:val="left"/>
            </w:pPr>
            <w:r>
              <w:t xml:space="preserve">Can your staff view our data? When, and is that access logged?</w:t>
            </w:r>
          </w:p>
        </w:tc>
        <w:tc>
          <w:tcPr/>
          <w:p>
            <w:pPr>
              <w:pStyle w:val="Compact"/>
            </w:pPr>
          </w:p>
        </w:tc>
      </w:tr>
      <w:tr>
        <w:tc>
          <w:tcPr/>
          <w:p>
            <w:pPr>
              <w:pStyle w:val="Compact"/>
              <w:jc w:val="left"/>
            </w:pPr>
            <w:r>
              <w:t xml:space="preserve">Retention</w:t>
            </w:r>
          </w:p>
        </w:tc>
        <w:tc>
          <w:tcPr/>
          <w:p>
            <w:pPr>
              <w:pStyle w:val="Compact"/>
              <w:jc w:val="left"/>
            </w:pPr>
            <w:r>
              <w:t xml:space="preserve">What is the default retention for each data type, including backups? Can we configure it?</w:t>
            </w:r>
          </w:p>
        </w:tc>
        <w:tc>
          <w:tcPr/>
          <w:p>
            <w:pPr>
              <w:pStyle w:val="Compact"/>
            </w:pPr>
          </w:p>
        </w:tc>
      </w:tr>
      <w:tr>
        <w:tc>
          <w:tcPr/>
          <w:p>
            <w:pPr>
              <w:pStyle w:val="Compact"/>
              <w:jc w:val="left"/>
            </w:pPr>
            <w:r>
              <w:t xml:space="preserve">Deletion</w:t>
            </w:r>
          </w:p>
        </w:tc>
        <w:tc>
          <w:tcPr/>
          <w:p>
            <w:pPr>
              <w:pStyle w:val="Compact"/>
              <w:jc w:val="left"/>
            </w:pPr>
            <w:r>
              <w:t xml:space="preserve">How do we delete one client’s data on request, and do we get confirmation?</w:t>
            </w:r>
          </w:p>
        </w:tc>
        <w:tc>
          <w:tcPr/>
          <w:p>
            <w:pPr>
              <w:pStyle w:val="Compact"/>
            </w:pPr>
          </w:p>
        </w:tc>
      </w:tr>
      <w:tr>
        <w:tc>
          <w:tcPr/>
          <w:p>
            <w:pPr>
              <w:pStyle w:val="Compact"/>
              <w:jc w:val="left"/>
            </w:pPr>
            <w:r>
              <w:t xml:space="preserve">Location</w:t>
            </w:r>
          </w:p>
        </w:tc>
        <w:tc>
          <w:tcPr/>
          <w:p>
            <w:pPr>
              <w:pStyle w:val="Compact"/>
              <w:jc w:val="left"/>
            </w:pPr>
            <w:r>
              <w:t xml:space="preserve">Where is our data stored and processed, including by sub-processors and support teams?</w:t>
            </w:r>
          </w:p>
        </w:tc>
        <w:tc>
          <w:tcPr/>
          <w:p>
            <w:pPr>
              <w:pStyle w:val="Compact"/>
            </w:pPr>
          </w:p>
        </w:tc>
      </w:tr>
      <w:tr>
        <w:tc>
          <w:tcPr/>
          <w:p>
            <w:pPr>
              <w:pStyle w:val="Compact"/>
              <w:jc w:val="left"/>
            </w:pPr>
            <w:r>
              <w:t xml:space="preserve">Sub-processors</w:t>
            </w:r>
          </w:p>
        </w:tc>
        <w:tc>
          <w:tcPr/>
          <w:p>
            <w:pPr>
              <w:pStyle w:val="Compact"/>
              <w:jc w:val="left"/>
            </w:pPr>
            <w:r>
              <w:t xml:space="preserve">Please send your current sub-processor list, including AI model providers. How are we notified of changes?</w:t>
            </w:r>
          </w:p>
        </w:tc>
        <w:tc>
          <w:tcPr/>
          <w:p>
            <w:pPr>
              <w:pStyle w:val="Compact"/>
            </w:pPr>
          </w:p>
        </w:tc>
      </w:tr>
      <w:tr>
        <w:tc>
          <w:tcPr/>
          <w:p>
            <w:pPr>
              <w:pStyle w:val="Compact"/>
              <w:jc w:val="left"/>
            </w:pPr>
            <w:r>
              <w:t xml:space="preserve">Security reports</w:t>
            </w:r>
          </w:p>
        </w:tc>
        <w:tc>
          <w:tcPr/>
          <w:p>
            <w:pPr>
              <w:pStyle w:val="Compact"/>
              <w:jc w:val="left"/>
            </w:pPr>
            <w:r>
              <w:t xml:space="preserve">Can we see your latest SOC 2 Type 2 report? Which products and categories are in scope, and what exceptions were noted?</w:t>
            </w:r>
          </w:p>
        </w:tc>
        <w:tc>
          <w:tcPr/>
          <w:p>
            <w:pPr>
              <w:pStyle w:val="Compact"/>
            </w:pPr>
          </w:p>
        </w:tc>
      </w:tr>
      <w:tr>
        <w:tc>
          <w:tcPr/>
          <w:p>
            <w:pPr>
              <w:pStyle w:val="Compact"/>
              <w:jc w:val="left"/>
            </w:pPr>
            <w:r>
              <w:t xml:space="preserve">Access controls</w:t>
            </w:r>
          </w:p>
        </w:tc>
        <w:tc>
          <w:tcPr/>
          <w:p>
            <w:pPr>
              <w:pStyle w:val="Compact"/>
              <w:jc w:val="left"/>
            </w:pPr>
            <w:r>
              <w:t xml:space="preserve">Do you support single sign-on and enforced multi-factor authentication? Role-based permissions? Exportable audit logs?</w:t>
            </w:r>
          </w:p>
        </w:tc>
        <w:tc>
          <w:tcPr/>
          <w:p>
            <w:pPr>
              <w:pStyle w:val="Compact"/>
            </w:pPr>
          </w:p>
        </w:tc>
      </w:tr>
      <w:tr>
        <w:tc>
          <w:tcPr/>
          <w:p>
            <w:pPr>
              <w:pStyle w:val="Compact"/>
              <w:jc w:val="left"/>
            </w:pPr>
            <w:r>
              <w:t xml:space="preserve">Recording and consent (notetakers)</w:t>
            </w:r>
          </w:p>
        </w:tc>
        <w:tc>
          <w:tcPr/>
          <w:p>
            <w:pPr>
              <w:pStyle w:val="Compact"/>
              <w:jc w:val="left"/>
            </w:pPr>
            <w:r>
              <w:t xml:space="preserve">Is recording optional? How is notice or consent captured? Who owns recordings and transcripts? Can we export them?</w:t>
            </w:r>
          </w:p>
        </w:tc>
        <w:tc>
          <w:tcPr/>
          <w:p>
            <w:pPr>
              <w:pStyle w:val="Compact"/>
            </w:pPr>
          </w:p>
        </w:tc>
      </w:tr>
      <w:tr>
        <w:tc>
          <w:tcPr/>
          <w:p>
            <w:pPr>
              <w:pStyle w:val="Compact"/>
              <w:jc w:val="left"/>
            </w:pPr>
            <w:r>
              <w:t xml:space="preserve">Accuracy</w:t>
            </w:r>
          </w:p>
        </w:tc>
        <w:tc>
          <w:tcPr/>
          <w:p>
            <w:pPr>
              <w:pStyle w:val="Compact"/>
              <w:jc w:val="left"/>
            </w:pPr>
            <w:r>
              <w:t xml:space="preserve">How do you test output accuracy? How do users correct errors, and is the original kept?</w:t>
            </w:r>
          </w:p>
        </w:tc>
        <w:tc>
          <w:tcPr/>
          <w:p>
            <w:pPr>
              <w:pStyle w:val="Compact"/>
            </w:pPr>
          </w:p>
        </w:tc>
      </w:tr>
      <w:tr>
        <w:tc>
          <w:tcPr/>
          <w:p>
            <w:pPr>
              <w:pStyle w:val="Compact"/>
              <w:jc w:val="left"/>
            </w:pPr>
            <w:r>
              <w:t xml:space="preserve">Integrations</w:t>
            </w:r>
          </w:p>
        </w:tc>
        <w:tc>
          <w:tcPr/>
          <w:p>
            <w:pPr>
              <w:pStyle w:val="Compact"/>
              <w:jc w:val="left"/>
            </w:pPr>
            <w:r>
              <w:t xml:space="preserve">What data flows to and from our CRM, email and archive? Are writes automatic or approved?</w:t>
            </w:r>
          </w:p>
        </w:tc>
        <w:tc>
          <w:tcPr/>
          <w:p>
            <w:pPr>
              <w:pStyle w:val="Compact"/>
            </w:pPr>
          </w:p>
        </w:tc>
      </w:tr>
      <w:tr>
        <w:tc>
          <w:tcPr/>
          <w:p>
            <w:pPr>
              <w:pStyle w:val="Compact"/>
              <w:jc w:val="left"/>
            </w:pPr>
            <w:r>
              <w:t xml:space="preserve">Incidents</w:t>
            </w:r>
          </w:p>
        </w:tc>
        <w:tc>
          <w:tcPr/>
          <w:p>
            <w:pPr>
              <w:pStyle w:val="Compact"/>
              <w:jc w:val="left"/>
            </w:pPr>
            <w:r>
              <w:t xml:space="preserve">Will you notify us of a breach involving our customer information as soon as possible and within 72 hours, in writing? Who is the contact?</w:t>
            </w:r>
          </w:p>
        </w:tc>
        <w:tc>
          <w:tcPr/>
          <w:p>
            <w:pPr>
              <w:pStyle w:val="Compact"/>
            </w:pPr>
          </w:p>
        </w:tc>
      </w:tr>
      <w:tr>
        <w:tc>
          <w:tcPr/>
          <w:p>
            <w:pPr>
              <w:pStyle w:val="Compact"/>
              <w:jc w:val="left"/>
            </w:pPr>
            <w:r>
              <w:t xml:space="preserve">Exit</w:t>
            </w:r>
          </w:p>
        </w:tc>
        <w:tc>
          <w:tcPr/>
          <w:p>
            <w:pPr>
              <w:pStyle w:val="Compact"/>
              <w:jc w:val="left"/>
            </w:pPr>
            <w:r>
              <w:t xml:space="preserve">What can we export, in what format? How long do we have after termination? Will you certify deletion, including backups?</w:t>
            </w:r>
          </w:p>
        </w:tc>
        <w:tc>
          <w:tcPr/>
          <w:p>
            <w:pPr>
              <w:pStyle w:val="Compact"/>
            </w:pPr>
          </w:p>
        </w:tc>
      </w:tr>
      <w:tr>
        <w:tc>
          <w:tcPr/>
          <w:p>
            <w:pPr>
              <w:pStyle w:val="Compact"/>
              <w:jc w:val="left"/>
            </w:pPr>
            <w:r>
              <w:t xml:space="preserve">Records</w:t>
            </w:r>
          </w:p>
        </w:tc>
        <w:tc>
          <w:tcPr/>
          <w:p>
            <w:pPr>
              <w:pStyle w:val="Compact"/>
              <w:jc w:val="left"/>
            </w:pPr>
            <w:r>
              <w:t xml:space="preserve">Can our archive capture the tool’s outputs? Will you help us produce records for a regulator?</w:t>
            </w:r>
          </w:p>
        </w:tc>
        <w:tc>
          <w:tcPr/>
          <w:p>
            <w:pPr>
              <w:pStyle w:val="Compact"/>
            </w:pPr>
          </w:p>
        </w:tc>
      </w:tr>
    </w:tbl>
    <w:p>
      <w:pPr>
        <w:pStyle w:val="BodyText"/>
      </w:pPr>
      <w:r>
        <w:rPr>
          <w:bCs/>
          <w:b/>
        </w:rPr>
        <w:t xml:space="preserve">C.1</w:t>
      </w:r>
      <w:r>
        <w:t xml:space="preserve"> </w:t>
      </w:r>
      <w:r>
        <w:t xml:space="preserve">Scale the review to the risk: a tool that only sees public information may need only the Data use, Access controls and Incidents rows; a tool that receives client information or records meetings needs all of them.</w:t>
      </w:r>
    </w:p>
    <w:p>
      <w:pPr>
        <w:pStyle w:val="BodyText"/>
      </w:pPr>
      <w:r>
        <w:rPr>
          <w:bCs/>
          <w:b/>
        </w:rPr>
        <w:t xml:space="preserve">C.2</w:t>
      </w:r>
      <w:r>
        <w:t xml:space="preserve"> </w:t>
      </w:r>
      <w:r>
        <w:t xml:space="preserve">Before signing, confirm the contract terms listed in section 10 with your compliance team or counsel.</w:t>
      </w:r>
    </w:p>
    <w:p>
      <w:pPr>
        <w:pStyle w:val="BlockText"/>
      </w:pPr>
      <w:r>
        <w:t xml:space="preserve">Guidance: Sources for this section: SEC: Regulation S-P small entity compliance guide, https://www.sec.gov/files/rules/final/2024/regulation-s-p-small-entity-compliance-guide.pdf; AICPA: SOC suite of services, https://www.aicpa-cima.com/topic/audit-assurance/audit-and-assurance-greater-than-soc-2/.</w:t>
      </w:r>
    </w:p>
    <w:bookmarkEnd w:id="38"/>
    <w:bookmarkStart w:id="39" w:name="Xba868f31dd9dd835e660c659c4dcccb8f708185"/>
    <w:p>
      <w:pPr>
        <w:pStyle w:val="Heading2"/>
      </w:pPr>
      <w:r>
        <w:t xml:space="preserve">Appendix D. Employee acknowledgment and attestation</w:t>
      </w:r>
    </w:p>
    <w:p>
      <w:pPr>
        <w:pStyle w:val="FirstParagraph"/>
      </w:pPr>
      <w:r>
        <w:t xml:space="preserve">Sign at hire and annually, and whenever the CCO asks for a new attestation after a material change.</w:t>
      </w:r>
    </w:p>
    <w:p>
      <w:pPr>
        <w:pStyle w:val="BodyText"/>
      </w:pPr>
      <w:r>
        <w:rPr>
          <w:bCs/>
          <w:b/>
        </w:rPr>
        <w:t xml:space="preserve">D.1</w:t>
      </w:r>
      <w:r>
        <w:t xml:space="preserve"> </w:t>
      </w:r>
      <w:r>
        <w:t xml:space="preserve">I have received, read and understood [FIRM NAME]’s AI Acceptable Use Policy, version [VERSION], effective [EFFECTIVE DATE], and I agree to follow it.</w:t>
      </w:r>
    </w:p>
    <w:p>
      <w:pPr>
        <w:pStyle w:val="BodyText"/>
      </w:pPr>
      <w:r>
        <w:rPr>
          <w:bCs/>
          <w:b/>
        </w:rPr>
        <w:t xml:space="preserve">D.2</w:t>
      </w:r>
      <w:r>
        <w:t xml:space="preserve"> </w:t>
      </w:r>
      <w:r>
        <w:t xml:space="preserve">I will use only approved AI tools and plans, through Firm-managed accounts, for Firm business, and I will request approval before using any other AI tool or feature.</w:t>
      </w:r>
    </w:p>
    <w:p>
      <w:pPr>
        <w:pStyle w:val="BodyText"/>
      </w:pPr>
      <w:r>
        <w:rPr>
          <w:bCs/>
          <w:b/>
        </w:rPr>
        <w:t xml:space="preserve">D.3</w:t>
      </w:r>
      <w:r>
        <w:t xml:space="preserve"> </w:t>
      </w:r>
      <w:r>
        <w:t xml:space="preserve">I will follow the data rules in section 5, including never entering sensitive client information into a tool not approved for it, and de-identifying information when a task doesn’t need client details.</w:t>
      </w:r>
    </w:p>
    <w:p>
      <w:pPr>
        <w:pStyle w:val="BodyText"/>
      </w:pPr>
      <w:r>
        <w:rPr>
          <w:bCs/>
          <w:b/>
        </w:rPr>
        <w:t xml:space="preserve">D.4</w:t>
      </w:r>
      <w:r>
        <w:t xml:space="preserve"> </w:t>
      </w:r>
      <w:r>
        <w:t xml:space="preserve">I will review and verify AI output before I use or send it, and I understand that I am responsible for work I produce with AI.</w:t>
      </w:r>
    </w:p>
    <w:p>
      <w:pPr>
        <w:pStyle w:val="BodyText"/>
      </w:pPr>
      <w:r>
        <w:rPr>
          <w:bCs/>
          <w:b/>
        </w:rPr>
        <w:t xml:space="preserve">D.5</w:t>
      </w:r>
      <w:r>
        <w:t xml:space="preserve"> </w:t>
      </w:r>
      <w:r>
        <w:t xml:space="preserve">I will keep required records in the Firm’s systems and will not use unapproved apps or personal accounts to communicate with clients.</w:t>
      </w:r>
    </w:p>
    <w:p>
      <w:pPr>
        <w:pStyle w:val="BodyText"/>
      </w:pPr>
      <w:r>
        <w:rPr>
          <w:bCs/>
          <w:b/>
        </w:rPr>
        <w:t xml:space="preserve">D.6</w:t>
      </w:r>
      <w:r>
        <w:t xml:space="preserve"> </w:t>
      </w:r>
      <w:r>
        <w:t xml:space="preserve">I will give notice and obtain consent as the policy requires before using an approved AI notetaker, and I will turn it off if a participant declines.</w:t>
      </w:r>
    </w:p>
    <w:p>
      <w:pPr>
        <w:pStyle w:val="BodyText"/>
      </w:pPr>
      <w:r>
        <w:rPr>
          <w:bCs/>
          <w:b/>
        </w:rPr>
        <w:t xml:space="preserve">D.7</w:t>
      </w:r>
      <w:r>
        <w:t xml:space="preserve"> </w:t>
      </w:r>
      <w:r>
        <w:t xml:space="preserve">I will report suspected AI incidents and mistakes to [CONTACT] within [X HOURS].</w:t>
      </w:r>
    </w:p>
    <w:p>
      <w:pPr>
        <w:pStyle w:val="BodyText"/>
      </w:pPr>
      <w:r>
        <w:rPr>
          <w:bCs/>
          <w:b/>
        </w:rPr>
        <w:t xml:space="preserve">D.8</w:t>
      </w:r>
      <w:r>
        <w:t xml:space="preserve"> </w:t>
      </w:r>
      <w:r>
        <w:t xml:space="preserve">Annual attestation: in the past 12 months, [ ] I have not used any unapproved AI tool for Firm business, or [ ] I used the following unapproved tools and have reported them to the CCO: ____________________</w:t>
      </w:r>
    </w:p>
    <w:p>
      <w:pPr>
        <w:pStyle w:val="BodyText"/>
      </w:pPr>
      <w:r>
        <w:rPr>
          <w:bCs/>
          <w:b/>
        </w:rPr>
        <w:t xml:space="preserve">D.9</w:t>
      </w:r>
      <w:r>
        <w:t xml:space="preserve"> </w:t>
      </w:r>
      <w:r>
        <w:t xml:space="preserve">Name: ____________________ Title: ____________________ Signature: ____________________ Date: ____________</w:t>
      </w:r>
    </w:p>
    <w:bookmarkEnd w:id="39"/>
    <w:bookmarkStart w:id="40" w:name="Xa02a52bd5482091cf174b589af9a109aad2d2b1"/>
    <w:p>
      <w:pPr>
        <w:pStyle w:val="Heading2"/>
      </w:pPr>
      <w:r>
        <w:t xml:space="preserve">Appendix E. Quick reference: AI do’s and don’ts</w:t>
      </w:r>
    </w:p>
    <w:p>
      <w:pPr>
        <w:pStyle w:val="FirstParagraph"/>
      </w:pPr>
      <w:r>
        <w:t xml:space="preserve">The one page most people will read. Print it, pin it, and hand it out with training.</w:t>
      </w:r>
    </w:p>
    <w:p>
      <w:pPr>
        <w:pStyle w:val="TableCaption"/>
      </w:pPr>
      <w:r>
        <w:t xml:space="preserve">AI do’s and don’ts</w:t>
      </w:r>
    </w:p>
    <w:tbl>
      <w:tblPr>
        <w:tblStyle w:val="Table"/>
        <w:tblW w:type="pct" w:w="5000"/>
        <w:tblLook w:firstRow="1" w:lastRow="0" w:firstColumn="0" w:lastColumn="0" w:noHBand="0" w:noVBand="0" w:val="0020"/>
        <w:jc w:val="start"/>
        <w:tblCaption w:val="AI do’s and don’ts"/>
      </w:tblPr>
      <w:tblGrid>
        <w:gridCol w:w="3960"/>
        <w:gridCol w:w="3960"/>
      </w:tblGrid>
      <w:tr>
        <w:trPr>
          <w:tblHeader w:val="true"/>
        </w:trPr>
        <w:tc>
          <w:tcPr/>
          <w:p>
            <w:pPr>
              <w:pStyle w:val="Compact"/>
              <w:jc w:val="left"/>
            </w:pPr>
            <w:r>
              <w:t xml:space="preserve">Do</w:t>
            </w:r>
          </w:p>
        </w:tc>
        <w:tc>
          <w:tcPr/>
          <w:p>
            <w:pPr>
              <w:pStyle w:val="Compact"/>
              <w:jc w:val="left"/>
            </w:pPr>
            <w:r>
              <w:t xml:space="preserve">Don’t</w:t>
            </w:r>
          </w:p>
        </w:tc>
      </w:tr>
      <w:tr>
        <w:tc>
          <w:tcPr/>
          <w:p>
            <w:pPr>
              <w:pStyle w:val="Compact"/>
              <w:jc w:val="left"/>
            </w:pPr>
            <w:r>
              <w:t xml:space="preserve">Use only the tools and plans on the approved list, through your Firm account</w:t>
            </w:r>
          </w:p>
        </w:tc>
        <w:tc>
          <w:tcPr/>
          <w:p>
            <w:pPr>
              <w:pStyle w:val="Compact"/>
              <w:jc w:val="left"/>
            </w:pPr>
            <w:r>
              <w:t xml:space="preserve">Use personal accounts, free versions or unapproved apps for Firm work</w:t>
            </w:r>
          </w:p>
        </w:tc>
      </w:tr>
      <w:tr>
        <w:tc>
          <w:tcPr/>
          <w:p>
            <w:pPr>
              <w:pStyle w:val="Compact"/>
              <w:jc w:val="left"/>
            </w:pPr>
            <w:r>
              <w:t xml:space="preserve">Ask before turning on a new AI feature, extension or plug-in</w:t>
            </w:r>
          </w:p>
        </w:tc>
        <w:tc>
          <w:tcPr/>
          <w:p>
            <w:pPr>
              <w:pStyle w:val="Compact"/>
              <w:jc w:val="left"/>
            </w:pPr>
            <w:r>
              <w:t xml:space="preserve">Assume an AI feature in software we already use is approved</w:t>
            </w:r>
          </w:p>
        </w:tc>
      </w:tr>
      <w:tr>
        <w:tc>
          <w:tcPr/>
          <w:p>
            <w:pPr>
              <w:pStyle w:val="Compact"/>
              <w:jc w:val="left"/>
            </w:pPr>
            <w:r>
              <w:t xml:space="preserve">Remove names and account details when a task doesn’t need them (</w:t>
            </w:r>
            <w:r>
              <w:t xml:space="preserve">“</w:t>
            </w:r>
            <w:r>
              <w:t xml:space="preserve">Client A</w:t>
            </w:r>
            <w:r>
              <w:t xml:space="preserve">”</w:t>
            </w:r>
            <w:r>
              <w:t xml:space="preserve">)</w:t>
            </w:r>
          </w:p>
        </w:tc>
        <w:tc>
          <w:tcPr/>
          <w:p>
            <w:pPr>
              <w:pStyle w:val="Compact"/>
              <w:jc w:val="left"/>
            </w:pPr>
            <w:r>
              <w:t xml:space="preserve">Paste Social Security, account or ID numbers, passwords, full dates of birth or health information</w:t>
            </w:r>
          </w:p>
        </w:tc>
      </w:tr>
      <w:tr>
        <w:tc>
          <w:tcPr/>
          <w:p>
            <w:pPr>
              <w:pStyle w:val="Compact"/>
              <w:jc w:val="left"/>
            </w:pPr>
            <w:r>
              <w:t xml:space="preserve">Check every number, date, limit and citation against the source</w:t>
            </w:r>
          </w:p>
        </w:tc>
        <w:tc>
          <w:tcPr/>
          <w:p>
            <w:pPr>
              <w:pStyle w:val="Compact"/>
              <w:jc w:val="left"/>
            </w:pPr>
            <w:r>
              <w:t xml:space="preserve">Send or save AI output you haven’t read and checked</w:t>
            </w:r>
          </w:p>
        </w:tc>
      </w:tr>
      <w:tr>
        <w:tc>
          <w:tcPr/>
          <w:p>
            <w:pPr>
              <w:pStyle w:val="Compact"/>
              <w:jc w:val="left"/>
            </w:pPr>
            <w:r>
              <w:t xml:space="preserve">Treat AI output as a draft that you are responsible for</w:t>
            </w:r>
          </w:p>
        </w:tc>
        <w:tc>
          <w:tcPr/>
          <w:p>
            <w:pPr>
              <w:pStyle w:val="Compact"/>
              <w:jc w:val="left"/>
            </w:pPr>
            <w:r>
              <w:t xml:space="preserve">Let AI make a recommendation, a best-interest call or a trading decision</w:t>
            </w:r>
          </w:p>
        </w:tc>
      </w:tr>
      <w:tr>
        <w:tc>
          <w:tcPr/>
          <w:p>
            <w:pPr>
              <w:pStyle w:val="Compact"/>
              <w:jc w:val="left"/>
            </w:pPr>
            <w:r>
              <w:t xml:space="preserve">Give notice and get consent before an AI notetaker records a client meeting</w:t>
            </w:r>
          </w:p>
        </w:tc>
        <w:tc>
          <w:tcPr/>
          <w:p>
            <w:pPr>
              <w:pStyle w:val="Compact"/>
              <w:jc w:val="left"/>
            </w:pPr>
            <w:r>
              <w:t xml:space="preserve">Keep recording after anyone says no; take notes by hand instead</w:t>
            </w:r>
          </w:p>
        </w:tc>
      </w:tr>
      <w:tr>
        <w:tc>
          <w:tcPr/>
          <w:p>
            <w:pPr>
              <w:pStyle w:val="Compact"/>
              <w:jc w:val="left"/>
            </w:pPr>
            <w:r>
              <w:t xml:space="preserve">Review and correct meeting summaries before they become the official note</w:t>
            </w:r>
          </w:p>
        </w:tc>
        <w:tc>
          <w:tcPr/>
          <w:p>
            <w:pPr>
              <w:pStyle w:val="Compact"/>
              <w:jc w:val="left"/>
            </w:pPr>
            <w:r>
              <w:t xml:space="preserve">Leave records only in a vendor’s app</w:t>
            </w:r>
          </w:p>
        </w:tc>
      </w:tr>
      <w:tr>
        <w:tc>
          <w:tcPr/>
          <w:p>
            <w:pPr>
              <w:pStyle w:val="Compact"/>
              <w:jc w:val="left"/>
            </w:pPr>
            <w:r>
              <w:t xml:space="preserve">Send AI-assisted marketing through normal compliance review</w:t>
            </w:r>
          </w:p>
        </w:tc>
        <w:tc>
          <w:tcPr/>
          <w:p>
            <w:pPr>
              <w:pStyle w:val="Compact"/>
              <w:jc w:val="left"/>
            </w:pPr>
            <w:r>
              <w:t xml:space="preserve">Use AI to write testimonials, reviews, statistics or performance figures</w:t>
            </w:r>
          </w:p>
        </w:tc>
      </w:tr>
      <w:tr>
        <w:tc>
          <w:tcPr/>
          <w:p>
            <w:pPr>
              <w:pStyle w:val="Compact"/>
              <w:jc w:val="left"/>
            </w:pPr>
            <w:r>
              <w:t xml:space="preserve">Describe the Firm’s use of AI accurately, in approved wording</w:t>
            </w:r>
          </w:p>
        </w:tc>
        <w:tc>
          <w:tcPr/>
          <w:p>
            <w:pPr>
              <w:pStyle w:val="Compact"/>
              <w:jc w:val="left"/>
            </w:pPr>
            <w:r>
              <w:t xml:space="preserve">Overstate what AI does at the Firm</w:t>
            </w:r>
          </w:p>
        </w:tc>
      </w:tr>
      <w:tr>
        <w:tc>
          <w:tcPr/>
          <w:p>
            <w:pPr>
              <w:pStyle w:val="Compact"/>
              <w:jc w:val="left"/>
            </w:pPr>
            <w:r>
              <w:t xml:space="preserve">Report mistakes to [CONTACT] within [X HOURS], even small ones</w:t>
            </w:r>
          </w:p>
        </w:tc>
        <w:tc>
          <w:tcPr/>
          <w:p>
            <w:pPr>
              <w:pStyle w:val="Compact"/>
              <w:jc w:val="left"/>
            </w:pPr>
            <w:r>
              <w:t xml:space="preserve">Try to fix a data mistake quietly on your own</w:t>
            </w:r>
          </w:p>
        </w:tc>
      </w:tr>
    </w:tbl>
    <w:p>
      <w:pPr>
        <w:pStyle w:val="BodyText"/>
      </w:pPr>
      <w:r>
        <w:rPr>
          <w:bCs/>
          <w:b/>
        </w:rPr>
        <w:t xml:space="preserve">E.1</w:t>
      </w:r>
      <w:r>
        <w:t xml:space="preserve"> </w:t>
      </w:r>
      <w:r>
        <w:t xml:space="preserve">Before you use AI, ask three questions: Is this tool and plan on the approved list? Is this information allowed in it? Who will review the output before anyone relies on it?</w:t>
      </w:r>
    </w:p>
    <w:p>
      <w:pPr>
        <w:pStyle w:val="BodyText"/>
      </w:pPr>
      <w:r>
        <w:rPr>
          <w:bCs/>
          <w:b/>
        </w:rPr>
        <w:t xml:space="preserve">E.2</w:t>
      </w:r>
      <w:r>
        <w:t xml:space="preserve"> </w:t>
      </w:r>
      <w:r>
        <w:t xml:space="preserve">Not sure? Ask [POLICY OWNER] before you paste, upload, record or send. The approved list is at [APPROVED TOOLS LIST LOCATION].</w:t>
      </w:r>
    </w:p>
    <w:p>
      <w:r>
        <w:pict>
          <v:rect style="width:0;height:1.5pt" o:hralign="center" o:hrstd="t" o:hr="t"/>
        </w:pict>
      </w:r>
    </w:p>
    <w:p>
      <w:pPr>
        <w:pStyle w:val="FirstParagraph"/>
      </w:pPr>
      <w:r>
        <w:rPr>
          <w:iCs/>
          <w:i/>
        </w:rPr>
        <w:t xml:space="preserve">Template from bestaiforadvisors.com/ai-policy-template/. Not legal advice.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2026-10-23T14:46:39Z</dcterms:created>
  <dcterms:modified xsi:type="dcterms:W3CDTF">2026-10-23T14:46:39Z</dcterms:modified>
</cp:coreProperties>
</file>

<file path=docProps/custom.xml><?xml version="1.0" encoding="utf-8"?>
<Properties xmlns="http://schemas.openxmlformats.org/officeDocument/2006/custom-properties" xmlns:vt="http://schemas.openxmlformats.org/officeDocument/2006/docPropsVTypes"/>
</file>